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1284F">
      <w:pPr>
        <w:widowControl/>
        <w:tabs>
          <w:tab w:val="right" w:pos="8280"/>
        </w:tabs>
        <w:spacing w:line="560" w:lineRule="exact"/>
        <w:jc w:val="left"/>
        <w:rPr>
          <w:rFonts w:ascii="Times New Roman" w:hAnsi="Times New Roman" w:eastAsia="楷体_GB2312"/>
          <w:b/>
          <w:i/>
          <w:caps/>
          <w:color w:val="FF0000"/>
          <w:kern w:val="0"/>
          <w:sz w:val="24"/>
        </w:rPr>
      </w:pPr>
      <w:bookmarkStart w:id="1779" w:name="_GoBack"/>
      <w:bookmarkEnd w:id="1779"/>
      <w:r>
        <w:rPr>
          <w:rFonts w:ascii="Times New Roman" w:hAnsi="Times New Roman" w:eastAsia="楷体_GB2312"/>
          <w:b/>
          <w:i/>
          <w:caps/>
          <w:color w:val="FF0000"/>
          <w:kern w:val="0"/>
          <w:sz w:val="24"/>
        </w:rPr>
        <w:t>【注：本合同版本根据人民银行、金融监管总局资产证券化相关规定以及交易商协会相关自律规则起草，作为个人消费类贷款资产支持证券的标准范本供市场机构参考</w:t>
      </w:r>
      <w:r>
        <w:rPr>
          <w:rStyle w:val="37"/>
          <w:rFonts w:ascii="Times New Roman" w:hAnsi="Times New Roman" w:eastAsia="楷体_GB2312"/>
          <w:b/>
          <w:i/>
          <w:caps/>
          <w:color w:val="FF0000"/>
          <w:kern w:val="0"/>
          <w:sz w:val="24"/>
        </w:rPr>
        <w:footnoteReference w:id="0"/>
      </w:r>
      <w:r>
        <w:rPr>
          <w:rFonts w:ascii="Times New Roman" w:hAnsi="Times New Roman" w:eastAsia="楷体_GB2312"/>
          <w:b/>
          <w:i/>
          <w:caps/>
          <w:color w:val="FF0000"/>
          <w:kern w:val="0"/>
          <w:sz w:val="24"/>
        </w:rPr>
        <w:t>。开展个人消费类贷款资产支持证券的贷款资产应符合相关监管要求及交易商协会相关自律规则。】</w:t>
      </w:r>
    </w:p>
    <w:p w14:paraId="51D44EF1">
      <w:pPr>
        <w:widowControl/>
        <w:tabs>
          <w:tab w:val="right" w:pos="8280"/>
        </w:tabs>
        <w:spacing w:line="560" w:lineRule="exact"/>
        <w:jc w:val="right"/>
        <w:rPr>
          <w:rFonts w:ascii="Times New Roman" w:hAnsi="Times New Roman" w:eastAsia="楷体_GB2312"/>
          <w:b/>
          <w:caps/>
          <w:kern w:val="0"/>
          <w:sz w:val="24"/>
        </w:rPr>
      </w:pPr>
      <w:r>
        <w:rPr>
          <w:rFonts w:ascii="Times New Roman" w:hAnsi="Times New Roman" w:eastAsia="楷体_GB2312"/>
          <w:b/>
          <w:caps/>
          <w:kern w:val="0"/>
          <w:sz w:val="24"/>
        </w:rPr>
        <w:t>合同编号：【信托合同编号】</w:t>
      </w:r>
    </w:p>
    <w:p w14:paraId="58E55123">
      <w:pPr>
        <w:widowControl/>
        <w:tabs>
          <w:tab w:val="right" w:pos="8280"/>
        </w:tabs>
        <w:spacing w:line="560" w:lineRule="exact"/>
        <w:jc w:val="right"/>
        <w:rPr>
          <w:rFonts w:ascii="Times New Roman" w:hAnsi="Times New Roman" w:eastAsia="楷体_GB2312"/>
          <w:b/>
          <w:caps/>
          <w:kern w:val="0"/>
          <w:sz w:val="24"/>
        </w:rPr>
      </w:pPr>
      <w:r>
        <w:rPr>
          <w:rFonts w:ascii="Times New Roman" w:hAnsi="Times New Roman" w:eastAsia="楷体_GB2312"/>
          <w:b/>
          <w:caps/>
          <w:kern w:val="0"/>
          <w:sz w:val="24"/>
        </w:rPr>
        <w:t>信托产品登记编码：【】</w:t>
      </w:r>
    </w:p>
    <w:p w14:paraId="70668088">
      <w:pPr>
        <w:spacing w:line="560" w:lineRule="exact"/>
        <w:rPr>
          <w:rFonts w:ascii="Times New Roman" w:hAnsi="Times New Roman" w:eastAsia="楷体_GB2312"/>
          <w:b/>
          <w:sz w:val="36"/>
          <w:szCs w:val="36"/>
        </w:rPr>
      </w:pPr>
    </w:p>
    <w:p w14:paraId="275DD2ED">
      <w:pPr>
        <w:spacing w:line="560" w:lineRule="exact"/>
        <w:jc w:val="center"/>
        <w:rPr>
          <w:rFonts w:ascii="Times New Roman" w:hAnsi="Times New Roman" w:eastAsia="楷体_GB2312"/>
          <w:b/>
          <w:sz w:val="36"/>
          <w:szCs w:val="36"/>
        </w:rPr>
      </w:pPr>
    </w:p>
    <w:p w14:paraId="557188C4">
      <w:pPr>
        <w:spacing w:line="560" w:lineRule="exact"/>
        <w:jc w:val="center"/>
        <w:rPr>
          <w:rFonts w:ascii="Times New Roman" w:hAnsi="Times New Roman" w:eastAsia="楷体_GB2312"/>
          <w:b/>
          <w:color w:val="000000"/>
          <w:sz w:val="36"/>
          <w:szCs w:val="36"/>
        </w:rPr>
      </w:pPr>
      <w:r>
        <w:rPr>
          <w:rFonts w:ascii="Times New Roman" w:hAnsi="Times New Roman" w:eastAsia="楷体_GB2312"/>
          <w:b/>
          <w:color w:val="000000"/>
          <w:sz w:val="36"/>
          <w:szCs w:val="36"/>
        </w:rPr>
        <w:t>【发起机构全称】</w:t>
      </w:r>
    </w:p>
    <w:p w14:paraId="7F98A9A8">
      <w:pPr>
        <w:tabs>
          <w:tab w:val="left" w:pos="426"/>
          <w:tab w:val="left" w:pos="851"/>
        </w:tabs>
        <w:spacing w:line="560" w:lineRule="exact"/>
        <w:jc w:val="center"/>
        <w:rPr>
          <w:rFonts w:ascii="Times New Roman" w:hAnsi="Times New Roman" w:eastAsia="楷体_GB2312"/>
          <w:b/>
          <w:color w:val="000000"/>
          <w:sz w:val="24"/>
        </w:rPr>
      </w:pPr>
      <w:r>
        <w:rPr>
          <w:rFonts w:ascii="Times New Roman" w:hAnsi="Times New Roman" w:eastAsia="楷体_GB2312"/>
          <w:b/>
          <w:color w:val="000000"/>
          <w:sz w:val="24"/>
        </w:rPr>
        <w:t>（作为委托人和发起机构）</w:t>
      </w:r>
    </w:p>
    <w:p w14:paraId="1EB185CC">
      <w:pPr>
        <w:spacing w:line="560" w:lineRule="exact"/>
        <w:jc w:val="center"/>
        <w:rPr>
          <w:rFonts w:ascii="Times New Roman" w:hAnsi="Times New Roman" w:eastAsia="楷体_GB2312"/>
          <w:b/>
          <w:color w:val="000000"/>
          <w:sz w:val="28"/>
          <w:szCs w:val="28"/>
        </w:rPr>
      </w:pPr>
    </w:p>
    <w:p w14:paraId="1B66AF04">
      <w:pPr>
        <w:spacing w:line="560" w:lineRule="exact"/>
        <w:jc w:val="center"/>
        <w:rPr>
          <w:rFonts w:ascii="Times New Roman" w:hAnsi="Times New Roman" w:eastAsia="楷体_GB2312"/>
          <w:b/>
          <w:color w:val="000000"/>
          <w:sz w:val="36"/>
          <w:szCs w:val="36"/>
        </w:rPr>
      </w:pPr>
      <w:r>
        <w:rPr>
          <w:rFonts w:ascii="Times New Roman" w:hAnsi="Times New Roman" w:eastAsia="楷体_GB2312"/>
          <w:b/>
          <w:color w:val="000000"/>
          <w:sz w:val="36"/>
          <w:szCs w:val="36"/>
        </w:rPr>
        <w:t>与</w:t>
      </w:r>
    </w:p>
    <w:p w14:paraId="4D54E001">
      <w:pPr>
        <w:spacing w:line="560" w:lineRule="exact"/>
        <w:jc w:val="center"/>
        <w:rPr>
          <w:rFonts w:ascii="Times New Roman" w:hAnsi="Times New Roman" w:eastAsia="楷体_GB2312"/>
          <w:b/>
          <w:color w:val="000000"/>
          <w:sz w:val="28"/>
          <w:szCs w:val="28"/>
        </w:rPr>
      </w:pPr>
    </w:p>
    <w:p w14:paraId="4C225F01">
      <w:pPr>
        <w:spacing w:line="560" w:lineRule="exact"/>
        <w:jc w:val="center"/>
        <w:rPr>
          <w:rFonts w:ascii="Times New Roman" w:hAnsi="Times New Roman" w:eastAsia="楷体_GB2312"/>
          <w:b/>
          <w:color w:val="000000"/>
          <w:sz w:val="36"/>
          <w:szCs w:val="36"/>
        </w:rPr>
      </w:pPr>
      <w:r>
        <w:rPr>
          <w:rFonts w:ascii="Times New Roman" w:hAnsi="Times New Roman" w:eastAsia="楷体_GB2312"/>
          <w:b/>
          <w:color w:val="000000"/>
          <w:sz w:val="36"/>
          <w:szCs w:val="36"/>
        </w:rPr>
        <w:t>【受托机构全称】</w:t>
      </w:r>
    </w:p>
    <w:p w14:paraId="5DA37EA1">
      <w:pPr>
        <w:spacing w:line="560" w:lineRule="exact"/>
        <w:jc w:val="center"/>
        <w:rPr>
          <w:rFonts w:ascii="Times New Roman" w:hAnsi="Times New Roman" w:eastAsia="楷体_GB2312"/>
          <w:b/>
          <w:color w:val="000000"/>
          <w:sz w:val="24"/>
        </w:rPr>
      </w:pPr>
      <w:r>
        <w:rPr>
          <w:rFonts w:ascii="Times New Roman" w:hAnsi="Times New Roman" w:eastAsia="楷体_GB2312"/>
          <w:b/>
          <w:color w:val="000000"/>
          <w:sz w:val="24"/>
        </w:rPr>
        <w:t>（作为受托人、受托机构和发行人）</w:t>
      </w:r>
    </w:p>
    <w:p w14:paraId="643DDB73">
      <w:pPr>
        <w:spacing w:line="560" w:lineRule="exact"/>
        <w:jc w:val="center"/>
        <w:rPr>
          <w:rFonts w:ascii="Times New Roman" w:hAnsi="Times New Roman" w:eastAsia="楷体_GB2312"/>
          <w:b/>
          <w:color w:val="000000"/>
          <w:szCs w:val="21"/>
        </w:rPr>
      </w:pPr>
      <w:r>
        <w:rPr>
          <w:rFonts w:ascii="Times New Roman" w:hAnsi="Times New Roman" w:eastAsia="楷体_GB2312"/>
          <w:b/>
          <w:color w:val="000000"/>
          <w:szCs w:val="21"/>
        </w:rPr>
        <w:t xml:space="preserve"> </w:t>
      </w:r>
    </w:p>
    <w:p w14:paraId="3418B95F">
      <w:pPr>
        <w:spacing w:line="560" w:lineRule="exact"/>
        <w:jc w:val="center"/>
        <w:rPr>
          <w:rFonts w:ascii="Times New Roman" w:hAnsi="Times New Roman" w:eastAsia="楷体_GB2312"/>
          <w:b/>
          <w:color w:val="000000"/>
          <w:szCs w:val="21"/>
        </w:rPr>
      </w:pPr>
    </w:p>
    <w:p w14:paraId="338C4F40">
      <w:pPr>
        <w:spacing w:line="560" w:lineRule="exact"/>
        <w:jc w:val="center"/>
        <w:rPr>
          <w:rFonts w:ascii="Times New Roman" w:hAnsi="Times New Roman" w:eastAsia="楷体_GB2312"/>
          <w:b/>
          <w:color w:val="000000"/>
          <w:sz w:val="36"/>
          <w:szCs w:val="36"/>
        </w:rPr>
      </w:pPr>
      <w:r>
        <w:rPr>
          <w:rFonts w:ascii="Times New Roman" w:hAnsi="Times New Roman" w:eastAsia="楷体_GB2312"/>
          <w:b/>
          <w:color w:val="000000"/>
          <w:sz w:val="36"/>
          <w:szCs w:val="36"/>
        </w:rPr>
        <w:t>【信托名称】</w:t>
      </w:r>
    </w:p>
    <w:p w14:paraId="28C906A5">
      <w:pPr>
        <w:spacing w:line="560" w:lineRule="exact"/>
        <w:jc w:val="center"/>
        <w:rPr>
          <w:rFonts w:ascii="Times New Roman" w:hAnsi="Times New Roman" w:eastAsia="楷体_GB2312"/>
          <w:b/>
          <w:color w:val="000000"/>
          <w:sz w:val="36"/>
          <w:szCs w:val="36"/>
        </w:rPr>
      </w:pPr>
      <w:r>
        <w:rPr>
          <w:rFonts w:hint="eastAsia" w:ascii="Times New Roman" w:hAnsi="Times New Roman" w:eastAsia="楷体_GB2312"/>
          <w:b/>
          <w:color w:val="000000"/>
          <w:sz w:val="36"/>
          <w:szCs w:val="36"/>
        </w:rPr>
        <w:t>之</w:t>
      </w:r>
    </w:p>
    <w:p w14:paraId="4310AADA">
      <w:pPr>
        <w:spacing w:line="560" w:lineRule="exact"/>
        <w:jc w:val="center"/>
        <w:rPr>
          <w:rFonts w:ascii="Times New Roman" w:hAnsi="Times New Roman" w:eastAsia="楷体_GB2312"/>
          <w:b/>
          <w:color w:val="000000"/>
          <w:sz w:val="36"/>
          <w:szCs w:val="36"/>
        </w:rPr>
      </w:pPr>
      <w:r>
        <w:rPr>
          <w:rFonts w:ascii="Times New Roman" w:hAnsi="Times New Roman" w:eastAsia="楷体_GB2312"/>
          <w:b/>
          <w:color w:val="000000"/>
          <w:sz w:val="36"/>
          <w:szCs w:val="36"/>
        </w:rPr>
        <w:t>信托合同</w:t>
      </w:r>
    </w:p>
    <w:p w14:paraId="71774EE6">
      <w:pPr>
        <w:spacing w:line="560" w:lineRule="exact"/>
        <w:jc w:val="center"/>
        <w:rPr>
          <w:rFonts w:ascii="Times New Roman" w:hAnsi="Times New Roman" w:eastAsia="楷体_GB2312"/>
          <w:color w:val="000000"/>
          <w:sz w:val="28"/>
          <w:szCs w:val="28"/>
        </w:rPr>
      </w:pPr>
      <w:r>
        <w:rPr>
          <w:rFonts w:ascii="Times New Roman" w:hAnsi="Times New Roman" w:eastAsia="楷体_GB2312"/>
          <w:color w:val="000000"/>
          <w:sz w:val="28"/>
          <w:szCs w:val="28"/>
        </w:rPr>
        <w:t xml:space="preserve"> </w:t>
      </w:r>
    </w:p>
    <w:p w14:paraId="091AC85E">
      <w:pPr>
        <w:spacing w:line="560" w:lineRule="exact"/>
        <w:jc w:val="center"/>
        <w:rPr>
          <w:rFonts w:ascii="Times New Roman" w:hAnsi="Times New Roman" w:eastAsia="楷体_GB2312"/>
          <w:b/>
          <w:color w:val="000000"/>
          <w:sz w:val="30"/>
          <w:szCs w:val="30"/>
        </w:rPr>
      </w:pPr>
      <w:r>
        <w:rPr>
          <w:rFonts w:ascii="Times New Roman" w:hAnsi="Times New Roman" w:eastAsia="楷体_GB2312"/>
          <w:b/>
          <w:color w:val="000000"/>
          <w:sz w:val="30"/>
          <w:szCs w:val="30"/>
        </w:rPr>
        <w:t>中国</w:t>
      </w:r>
      <w:r>
        <w:rPr>
          <w:rFonts w:ascii="Times New Roman" w:hAnsi="Times New Roman" w:eastAsia="楷体_GB2312"/>
          <w:b/>
          <w:color w:val="000000"/>
          <w:sz w:val="30"/>
          <w:szCs w:val="30"/>
        </w:rPr>
        <w:tab/>
      </w:r>
      <w:r>
        <w:rPr>
          <w:rFonts w:ascii="Times New Roman" w:hAnsi="Times New Roman" w:eastAsia="楷体_GB2312"/>
          <w:b/>
          <w:bCs/>
          <w:color w:val="000000"/>
          <w:sz w:val="28"/>
          <w:szCs w:val="28"/>
        </w:rPr>
        <w:t>【  】</w:t>
      </w:r>
    </w:p>
    <w:p w14:paraId="63856688">
      <w:pPr>
        <w:spacing w:line="560" w:lineRule="exact"/>
        <w:jc w:val="center"/>
        <w:rPr>
          <w:rFonts w:ascii="Times New Roman" w:hAnsi="Times New Roman" w:eastAsia="楷体_GB2312"/>
          <w:color w:val="000000"/>
          <w:sz w:val="24"/>
        </w:rPr>
      </w:pPr>
      <w:r>
        <w:rPr>
          <w:rFonts w:ascii="Times New Roman" w:hAnsi="Times New Roman" w:eastAsia="楷体_GB2312"/>
          <w:b/>
          <w:bCs/>
          <w:color w:val="000000"/>
          <w:sz w:val="28"/>
          <w:szCs w:val="28"/>
        </w:rPr>
        <w:t>【  】年【  】</w:t>
      </w:r>
      <w:r>
        <w:rPr>
          <w:rFonts w:ascii="Times New Roman" w:hAnsi="Times New Roman" w:eastAsia="楷体_GB2312"/>
          <w:b/>
          <w:color w:val="000000"/>
          <w:sz w:val="28"/>
          <w:szCs w:val="28"/>
        </w:rPr>
        <w:t>月</w:t>
      </w:r>
    </w:p>
    <w:p w14:paraId="0FBB6BF1">
      <w:pPr>
        <w:pStyle w:val="19"/>
        <w:spacing w:before="0" w:after="0" w:line="560" w:lineRule="exact"/>
        <w:ind w:firstLine="337"/>
        <w:rPr>
          <w:rFonts w:ascii="Times New Roman" w:hAnsi="Times New Roman" w:eastAsia="楷体_GB2312"/>
        </w:rPr>
        <w:sectPr>
          <w:footerReference r:id="rId6" w:type="first"/>
          <w:footerReference r:id="rId4" w:type="default"/>
          <w:footerReference r:id="rId5" w:type="even"/>
          <w:pgSz w:w="11906" w:h="16838"/>
          <w:pgMar w:top="1440" w:right="1800" w:bottom="1440" w:left="1800" w:header="851" w:footer="992" w:gutter="0"/>
          <w:pgNumType w:start="0"/>
          <w:cols w:space="720" w:num="1"/>
          <w:titlePg/>
          <w:docGrid w:type="lines" w:linePitch="312" w:charSpace="0"/>
        </w:sectPr>
      </w:pPr>
    </w:p>
    <w:p w14:paraId="2428ABAF">
      <w:pPr>
        <w:spacing w:before="156" w:beforeLines="50" w:after="156" w:afterLines="50" w:line="360" w:lineRule="auto"/>
        <w:jc w:val="center"/>
        <w:rPr>
          <w:rFonts w:ascii="Times New Roman" w:hAnsi="Times New Roman" w:eastAsia="楷体_GB2312"/>
          <w:b/>
          <w:sz w:val="24"/>
        </w:rPr>
      </w:pPr>
      <w:r>
        <w:rPr>
          <w:rFonts w:ascii="Times New Roman" w:hAnsi="Times New Roman" w:eastAsia="楷体_GB2312"/>
          <w:b/>
          <w:sz w:val="24"/>
        </w:rPr>
        <w:t>目</w:t>
      </w:r>
      <w:r>
        <w:rPr>
          <w:rFonts w:ascii="Times New Roman" w:hAnsi="Times New Roman" w:eastAsia="楷体_GB2312"/>
          <w:b/>
          <w:sz w:val="24"/>
        </w:rPr>
        <w:tab/>
      </w:r>
      <w:r>
        <w:rPr>
          <w:rFonts w:ascii="Times New Roman" w:hAnsi="Times New Roman" w:eastAsia="楷体_GB2312"/>
          <w:b/>
          <w:sz w:val="24"/>
        </w:rPr>
        <w:t>录</w:t>
      </w:r>
    </w:p>
    <w:p w14:paraId="474F15B7">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ascii="Times New Roman" w:hAnsi="Times New Roman" w:eastAsia="楷体_GB2312"/>
          <w:b w:val="0"/>
          <w:color w:val="auto"/>
          <w:sz w:val="24"/>
          <w:szCs w:val="24"/>
        </w:rPr>
        <w:fldChar w:fldCharType="begin"/>
      </w:r>
      <w:r>
        <w:rPr>
          <w:rStyle w:val="35"/>
          <w:rFonts w:ascii="Times New Roman" w:hAnsi="Times New Roman" w:eastAsia="楷体_GB2312"/>
          <w:b w:val="0"/>
          <w:color w:val="auto"/>
          <w:sz w:val="24"/>
          <w:szCs w:val="24"/>
        </w:rPr>
        <w:instrText xml:space="preserve"> TOC \o "1-1" \h \z \u </w:instrText>
      </w:r>
      <w:r>
        <w:rPr>
          <w:rStyle w:val="35"/>
          <w:rFonts w:ascii="Times New Roman" w:hAnsi="Times New Roman" w:eastAsia="楷体_GB2312"/>
          <w:b w:val="0"/>
          <w:color w:val="auto"/>
          <w:sz w:val="24"/>
          <w:szCs w:val="24"/>
        </w:rPr>
        <w:fldChar w:fldCharType="separate"/>
      </w: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"_Toc227694321"</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1</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定义</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_Toc227694321 \h </w:instrText>
      </w:r>
      <w:r>
        <w:rPr>
          <w:rFonts w:hint="eastAsia" w:ascii="Times New Roman" w:hAnsi="Times New Roman" w:eastAsia="楷体"/>
          <w:sz w:val="24"/>
          <w:szCs w:val="24"/>
        </w:rPr>
        <w:fldChar w:fldCharType="separate"/>
      </w:r>
      <w:r>
        <w:rPr>
          <w:rFonts w:ascii="Times New Roman" w:hAnsi="Times New Roman" w:eastAsia="楷体"/>
          <w:sz w:val="24"/>
          <w:szCs w:val="24"/>
        </w:rPr>
        <w:t>4</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4000EFB6">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"_Toc227694322"</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2</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信托目的</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_Toc227694322 \h </w:instrText>
      </w:r>
      <w:r>
        <w:rPr>
          <w:rFonts w:hint="eastAsia" w:ascii="Times New Roman" w:hAnsi="Times New Roman" w:eastAsia="楷体"/>
          <w:sz w:val="24"/>
          <w:szCs w:val="24"/>
        </w:rPr>
        <w:fldChar w:fldCharType="separate"/>
      </w:r>
      <w:r>
        <w:rPr>
          <w:rFonts w:ascii="Times New Roman" w:hAnsi="Times New Roman" w:eastAsia="楷体"/>
          <w:sz w:val="24"/>
          <w:szCs w:val="24"/>
        </w:rPr>
        <w:t>4</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7EF8F7F9">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"_Toc227694323"</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3</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信托的设立</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_Toc227694323 \h </w:instrText>
      </w:r>
      <w:r>
        <w:rPr>
          <w:rFonts w:hint="eastAsia" w:ascii="Times New Roman" w:hAnsi="Times New Roman" w:eastAsia="楷体"/>
          <w:sz w:val="24"/>
          <w:szCs w:val="24"/>
        </w:rPr>
        <w:fldChar w:fldCharType="separate"/>
      </w:r>
      <w:r>
        <w:rPr>
          <w:rFonts w:ascii="Times New Roman" w:hAnsi="Times New Roman" w:eastAsia="楷体"/>
          <w:sz w:val="24"/>
          <w:szCs w:val="24"/>
        </w:rPr>
        <w:t>4</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304E0A03">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"_Toc227694324"</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4</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lang w:val="en-GB"/>
        </w:rPr>
        <w:t>不合格资产的</w:t>
      </w:r>
      <w:r>
        <w:rPr>
          <w:rStyle w:val="35"/>
          <w:rFonts w:hint="eastAsia" w:ascii="Times New Roman" w:hAnsi="Times New Roman" w:eastAsia="楷体"/>
          <w:sz w:val="24"/>
          <w:szCs w:val="24"/>
        </w:rPr>
        <w:t>赎回</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_Toc227694324 \h </w:instrText>
      </w:r>
      <w:r>
        <w:rPr>
          <w:rFonts w:hint="eastAsia" w:ascii="Times New Roman" w:hAnsi="Times New Roman" w:eastAsia="楷体"/>
          <w:sz w:val="24"/>
          <w:szCs w:val="24"/>
        </w:rPr>
        <w:fldChar w:fldCharType="separate"/>
      </w:r>
      <w:r>
        <w:rPr>
          <w:rFonts w:ascii="Times New Roman" w:hAnsi="Times New Roman" w:eastAsia="楷体"/>
          <w:sz w:val="24"/>
          <w:szCs w:val="24"/>
        </w:rPr>
        <w:t>10</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3CE2E6FD">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"_Toc227694325"</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5</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权利完善通知与抵销、混同的处理</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_Toc227694325 \h </w:instrText>
      </w:r>
      <w:r>
        <w:rPr>
          <w:rFonts w:hint="eastAsia" w:ascii="Times New Roman" w:hAnsi="Times New Roman" w:eastAsia="楷体"/>
          <w:sz w:val="24"/>
          <w:szCs w:val="24"/>
        </w:rPr>
        <w:fldChar w:fldCharType="separate"/>
      </w:r>
      <w:r>
        <w:rPr>
          <w:rFonts w:ascii="Times New Roman" w:hAnsi="Times New Roman" w:eastAsia="楷体"/>
          <w:sz w:val="24"/>
          <w:szCs w:val="24"/>
        </w:rPr>
        <w:t>12</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67C43FD7">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"_Toc227694326"</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6</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委托人的权利和义务、陈述和保证</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_Toc227694326 \h </w:instrText>
      </w:r>
      <w:r>
        <w:rPr>
          <w:rFonts w:hint="eastAsia" w:ascii="Times New Roman" w:hAnsi="Times New Roman" w:eastAsia="楷体"/>
          <w:sz w:val="24"/>
          <w:szCs w:val="24"/>
        </w:rPr>
        <w:fldChar w:fldCharType="separate"/>
      </w:r>
      <w:r>
        <w:rPr>
          <w:rFonts w:ascii="Times New Roman" w:hAnsi="Times New Roman" w:eastAsia="楷体"/>
          <w:sz w:val="24"/>
          <w:szCs w:val="24"/>
        </w:rPr>
        <w:t>14</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6ED20354">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"_Toc227694327"</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7</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受托人的权利和义务、陈述和保证</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_Toc227694327 \h </w:instrText>
      </w:r>
      <w:r>
        <w:rPr>
          <w:rFonts w:hint="eastAsia" w:ascii="Times New Roman" w:hAnsi="Times New Roman" w:eastAsia="楷体"/>
          <w:sz w:val="24"/>
          <w:szCs w:val="24"/>
        </w:rPr>
        <w:fldChar w:fldCharType="separate"/>
      </w:r>
      <w:r>
        <w:rPr>
          <w:rFonts w:ascii="Times New Roman" w:hAnsi="Times New Roman" w:eastAsia="楷体"/>
          <w:sz w:val="24"/>
          <w:szCs w:val="24"/>
        </w:rPr>
        <w:t>21</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09D6A0C2">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"_Toc227694328"</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8</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受益人的权利与义务</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_Toc227694328 \h </w:instrText>
      </w:r>
      <w:r>
        <w:rPr>
          <w:rFonts w:hint="eastAsia" w:ascii="Times New Roman" w:hAnsi="Times New Roman" w:eastAsia="楷体"/>
          <w:sz w:val="24"/>
          <w:szCs w:val="24"/>
        </w:rPr>
        <w:fldChar w:fldCharType="separate"/>
      </w:r>
      <w:r>
        <w:rPr>
          <w:rFonts w:ascii="Times New Roman" w:hAnsi="Times New Roman" w:eastAsia="楷体"/>
          <w:sz w:val="24"/>
          <w:szCs w:val="24"/>
        </w:rPr>
        <w:t>26</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09E1F40B">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"_Toc227694329"</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9</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信托受益权和资产支持证券</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_Toc227694329 \h </w:instrText>
      </w:r>
      <w:r>
        <w:rPr>
          <w:rFonts w:hint="eastAsia" w:ascii="Times New Roman" w:hAnsi="Times New Roman" w:eastAsia="楷体"/>
          <w:sz w:val="24"/>
          <w:szCs w:val="24"/>
        </w:rPr>
        <w:fldChar w:fldCharType="separate"/>
      </w:r>
      <w:r>
        <w:rPr>
          <w:rFonts w:ascii="Times New Roman" w:hAnsi="Times New Roman" w:eastAsia="楷体"/>
          <w:sz w:val="24"/>
          <w:szCs w:val="24"/>
        </w:rPr>
        <w:t>28</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3C5BFB00">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"_Toc227694330"</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10</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信托账户</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_Toc227694330 \h </w:instrText>
      </w:r>
      <w:r>
        <w:rPr>
          <w:rFonts w:hint="eastAsia" w:ascii="Times New Roman" w:hAnsi="Times New Roman" w:eastAsia="楷体"/>
          <w:sz w:val="24"/>
          <w:szCs w:val="24"/>
        </w:rPr>
        <w:fldChar w:fldCharType="separate"/>
      </w:r>
      <w:r>
        <w:rPr>
          <w:rFonts w:ascii="Times New Roman" w:hAnsi="Times New Roman" w:eastAsia="楷体"/>
          <w:sz w:val="24"/>
          <w:szCs w:val="24"/>
        </w:rPr>
        <w:t>35</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2FB900E6">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"_Toc227694331"</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11</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回收款的转付、核算与分配</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_Toc227694331 \h </w:instrText>
      </w:r>
      <w:r>
        <w:rPr>
          <w:rFonts w:hint="eastAsia" w:ascii="Times New Roman" w:hAnsi="Times New Roman" w:eastAsia="楷体"/>
          <w:sz w:val="24"/>
          <w:szCs w:val="24"/>
        </w:rPr>
        <w:fldChar w:fldCharType="separate"/>
      </w:r>
      <w:r>
        <w:rPr>
          <w:rFonts w:ascii="Times New Roman" w:hAnsi="Times New Roman" w:eastAsia="楷体"/>
          <w:sz w:val="24"/>
          <w:szCs w:val="24"/>
        </w:rPr>
        <w:t>36</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67643F7C">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"_Toc227694332"</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12</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信托财产的管理与保管</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_Toc227694332 \h </w:instrText>
      </w:r>
      <w:r>
        <w:rPr>
          <w:rFonts w:hint="eastAsia" w:ascii="Times New Roman" w:hAnsi="Times New Roman" w:eastAsia="楷体"/>
          <w:sz w:val="24"/>
          <w:szCs w:val="24"/>
        </w:rPr>
        <w:fldChar w:fldCharType="separate"/>
      </w:r>
      <w:r>
        <w:rPr>
          <w:rFonts w:ascii="Times New Roman" w:hAnsi="Times New Roman" w:eastAsia="楷体"/>
          <w:sz w:val="24"/>
          <w:szCs w:val="24"/>
        </w:rPr>
        <w:t>54</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0BE46047">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"_Toc227694333"</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13</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清仓回购</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_Toc227694333 \h </w:instrText>
      </w:r>
      <w:r>
        <w:rPr>
          <w:rFonts w:hint="eastAsia" w:ascii="Times New Roman" w:hAnsi="Times New Roman" w:eastAsia="楷体"/>
          <w:sz w:val="24"/>
          <w:szCs w:val="24"/>
        </w:rPr>
        <w:fldChar w:fldCharType="separate"/>
      </w:r>
      <w:r>
        <w:rPr>
          <w:rFonts w:ascii="Times New Roman" w:hAnsi="Times New Roman" w:eastAsia="楷体"/>
          <w:sz w:val="24"/>
          <w:szCs w:val="24"/>
        </w:rPr>
        <w:t>56</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534E2A4E">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"_Toc227694334"</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14</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信托的终止与清算</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_Toc227694334 \h </w:instrText>
      </w:r>
      <w:r>
        <w:rPr>
          <w:rFonts w:hint="eastAsia" w:ascii="Times New Roman" w:hAnsi="Times New Roman" w:eastAsia="楷体"/>
          <w:sz w:val="24"/>
          <w:szCs w:val="24"/>
        </w:rPr>
        <w:fldChar w:fldCharType="separate"/>
      </w:r>
      <w:r>
        <w:rPr>
          <w:rFonts w:ascii="Times New Roman" w:hAnsi="Times New Roman" w:eastAsia="楷体"/>
          <w:sz w:val="24"/>
          <w:szCs w:val="24"/>
        </w:rPr>
        <w:t>58</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78B9DA1C">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"_Toc227694335"</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15</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受托人的更换</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_Toc227694335 \h </w:instrText>
      </w:r>
      <w:r>
        <w:rPr>
          <w:rFonts w:hint="eastAsia" w:ascii="Times New Roman" w:hAnsi="Times New Roman" w:eastAsia="楷体"/>
          <w:sz w:val="24"/>
          <w:szCs w:val="24"/>
        </w:rPr>
        <w:fldChar w:fldCharType="separate"/>
      </w:r>
      <w:r>
        <w:rPr>
          <w:rFonts w:ascii="Times New Roman" w:hAnsi="Times New Roman" w:eastAsia="楷体"/>
          <w:sz w:val="24"/>
          <w:szCs w:val="24"/>
        </w:rPr>
        <w:t>60</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0CF153F8">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"_Toc227694336"</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16</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信托的核算</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_Toc227694336 \h </w:instrText>
      </w:r>
      <w:r>
        <w:rPr>
          <w:rFonts w:hint="eastAsia" w:ascii="Times New Roman" w:hAnsi="Times New Roman" w:eastAsia="楷体"/>
          <w:sz w:val="24"/>
          <w:szCs w:val="24"/>
        </w:rPr>
        <w:fldChar w:fldCharType="separate"/>
      </w:r>
      <w:r>
        <w:rPr>
          <w:rFonts w:ascii="Times New Roman" w:hAnsi="Times New Roman" w:eastAsia="楷体"/>
          <w:sz w:val="24"/>
          <w:szCs w:val="24"/>
        </w:rPr>
        <w:t>62</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212F04DF">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"_Toc227694337"</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17</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费用和报酬</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_Toc227694337 \h </w:instrText>
      </w:r>
      <w:r>
        <w:rPr>
          <w:rFonts w:hint="eastAsia" w:ascii="Times New Roman" w:hAnsi="Times New Roman" w:eastAsia="楷体"/>
          <w:sz w:val="24"/>
          <w:szCs w:val="24"/>
        </w:rPr>
        <w:fldChar w:fldCharType="separate"/>
      </w:r>
      <w:r>
        <w:rPr>
          <w:rFonts w:ascii="Times New Roman" w:hAnsi="Times New Roman" w:eastAsia="楷体"/>
          <w:sz w:val="24"/>
          <w:szCs w:val="24"/>
        </w:rPr>
        <w:t>63</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23DAA632">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"_Toc227694338"</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18</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税负承担</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_Toc227694338 \h </w:instrText>
      </w:r>
      <w:r>
        <w:rPr>
          <w:rFonts w:hint="eastAsia" w:ascii="Times New Roman" w:hAnsi="Times New Roman" w:eastAsia="楷体"/>
          <w:sz w:val="24"/>
          <w:szCs w:val="24"/>
        </w:rPr>
        <w:fldChar w:fldCharType="separate"/>
      </w:r>
      <w:r>
        <w:rPr>
          <w:rFonts w:ascii="Times New Roman" w:hAnsi="Times New Roman" w:eastAsia="楷体"/>
          <w:sz w:val="24"/>
          <w:szCs w:val="24"/>
        </w:rPr>
        <w:t>64</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16269512">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"_Toc227694339"</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19</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资产支持证券持有人大会</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_Toc227694339 \h </w:instrText>
      </w:r>
      <w:r>
        <w:rPr>
          <w:rFonts w:hint="eastAsia" w:ascii="Times New Roman" w:hAnsi="Times New Roman" w:eastAsia="楷体"/>
          <w:sz w:val="24"/>
          <w:szCs w:val="24"/>
        </w:rPr>
        <w:fldChar w:fldCharType="separate"/>
      </w:r>
      <w:r>
        <w:rPr>
          <w:rFonts w:ascii="Times New Roman" w:hAnsi="Times New Roman" w:eastAsia="楷体"/>
          <w:sz w:val="24"/>
          <w:szCs w:val="24"/>
        </w:rPr>
        <w:t>64</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6131A343">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"_Toc227694340"</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20</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赔偿和免责</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_Toc227694340 \h </w:instrText>
      </w:r>
      <w:r>
        <w:rPr>
          <w:rFonts w:hint="eastAsia" w:ascii="Times New Roman" w:hAnsi="Times New Roman" w:eastAsia="楷体"/>
          <w:sz w:val="24"/>
          <w:szCs w:val="24"/>
        </w:rPr>
        <w:fldChar w:fldCharType="separate"/>
      </w:r>
      <w:r>
        <w:rPr>
          <w:rFonts w:ascii="Times New Roman" w:hAnsi="Times New Roman" w:eastAsia="楷体"/>
          <w:sz w:val="24"/>
          <w:szCs w:val="24"/>
        </w:rPr>
        <w:t>71</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4851255E">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"_Toc227694341"</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21</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信息披露</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_Toc227694341 \h </w:instrText>
      </w:r>
      <w:r>
        <w:rPr>
          <w:rFonts w:hint="eastAsia" w:ascii="Times New Roman" w:hAnsi="Times New Roman" w:eastAsia="楷体"/>
          <w:sz w:val="24"/>
          <w:szCs w:val="24"/>
        </w:rPr>
        <w:fldChar w:fldCharType="separate"/>
      </w:r>
      <w:r>
        <w:rPr>
          <w:rFonts w:ascii="Times New Roman" w:hAnsi="Times New Roman" w:eastAsia="楷体"/>
          <w:sz w:val="24"/>
          <w:szCs w:val="24"/>
        </w:rPr>
        <w:t>73</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6C1373CB">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"_Toc227694342"</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22</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保密条款</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_Toc227694342 \h </w:instrText>
      </w:r>
      <w:r>
        <w:rPr>
          <w:rFonts w:hint="eastAsia" w:ascii="Times New Roman" w:hAnsi="Times New Roman" w:eastAsia="楷体"/>
          <w:sz w:val="24"/>
          <w:szCs w:val="24"/>
        </w:rPr>
        <w:fldChar w:fldCharType="separate"/>
      </w:r>
      <w:r>
        <w:rPr>
          <w:rFonts w:ascii="Times New Roman" w:hAnsi="Times New Roman" w:eastAsia="楷体"/>
          <w:sz w:val="24"/>
          <w:szCs w:val="24"/>
        </w:rPr>
        <w:t>75</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414E1B1F">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"_Toc227694343"</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23</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不可抗力</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_Toc227694343 \h </w:instrText>
      </w:r>
      <w:r>
        <w:rPr>
          <w:rFonts w:hint="eastAsia" w:ascii="Times New Roman" w:hAnsi="Times New Roman" w:eastAsia="楷体"/>
          <w:sz w:val="24"/>
          <w:szCs w:val="24"/>
        </w:rPr>
        <w:fldChar w:fldCharType="separate"/>
      </w:r>
      <w:r>
        <w:rPr>
          <w:rFonts w:ascii="Times New Roman" w:hAnsi="Times New Roman" w:eastAsia="楷体"/>
          <w:sz w:val="24"/>
          <w:szCs w:val="24"/>
        </w:rPr>
        <w:t>76</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6C734F26">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"_Toc227694344"</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24</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法律适用和争议解决</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_Toc227694344 \h </w:instrText>
      </w:r>
      <w:r>
        <w:rPr>
          <w:rFonts w:hint="eastAsia" w:ascii="Times New Roman" w:hAnsi="Times New Roman" w:eastAsia="楷体"/>
          <w:sz w:val="24"/>
          <w:szCs w:val="24"/>
        </w:rPr>
        <w:fldChar w:fldCharType="separate"/>
      </w:r>
      <w:r>
        <w:rPr>
          <w:rFonts w:ascii="Times New Roman" w:hAnsi="Times New Roman" w:eastAsia="楷体"/>
          <w:sz w:val="24"/>
          <w:szCs w:val="24"/>
        </w:rPr>
        <w:t>77</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1EB04B4F">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"_Toc227694345"</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25</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有限追索和诉讼禁止</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_Toc227694345 \h </w:instrText>
      </w:r>
      <w:r>
        <w:rPr>
          <w:rFonts w:hint="eastAsia" w:ascii="Times New Roman" w:hAnsi="Times New Roman" w:eastAsia="楷体"/>
          <w:sz w:val="24"/>
          <w:szCs w:val="24"/>
        </w:rPr>
        <w:fldChar w:fldCharType="separate"/>
      </w:r>
      <w:r>
        <w:rPr>
          <w:rFonts w:ascii="Times New Roman" w:hAnsi="Times New Roman" w:eastAsia="楷体"/>
          <w:sz w:val="24"/>
          <w:szCs w:val="24"/>
        </w:rPr>
        <w:t>77</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6C45DBC1">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"_Toc227694346"</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26</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合同的转让</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_Toc227694346 \h </w:instrText>
      </w:r>
      <w:r>
        <w:rPr>
          <w:rFonts w:hint="eastAsia" w:ascii="Times New Roman" w:hAnsi="Times New Roman" w:eastAsia="楷体"/>
          <w:sz w:val="24"/>
          <w:szCs w:val="24"/>
        </w:rPr>
        <w:fldChar w:fldCharType="separate"/>
      </w:r>
      <w:r>
        <w:rPr>
          <w:rFonts w:ascii="Times New Roman" w:hAnsi="Times New Roman" w:eastAsia="楷体"/>
          <w:sz w:val="24"/>
          <w:szCs w:val="24"/>
        </w:rPr>
        <w:t>78</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4F0C74F2">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"_Toc227694347"</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27</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通知和送达</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_Toc227694347 \h </w:instrText>
      </w:r>
      <w:r>
        <w:rPr>
          <w:rFonts w:hint="eastAsia" w:ascii="Times New Roman" w:hAnsi="Times New Roman" w:eastAsia="楷体"/>
          <w:sz w:val="24"/>
          <w:szCs w:val="24"/>
        </w:rPr>
        <w:fldChar w:fldCharType="separate"/>
      </w:r>
      <w:r>
        <w:rPr>
          <w:rFonts w:ascii="Times New Roman" w:hAnsi="Times New Roman" w:eastAsia="楷体"/>
          <w:sz w:val="24"/>
          <w:szCs w:val="24"/>
        </w:rPr>
        <w:t>78</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2BEF4F3E">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"_Toc227694348"</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28</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修改和弃权</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_Toc227694348 \h </w:instrText>
      </w:r>
      <w:r>
        <w:rPr>
          <w:rFonts w:hint="eastAsia" w:ascii="Times New Roman" w:hAnsi="Times New Roman" w:eastAsia="楷体"/>
          <w:sz w:val="24"/>
          <w:szCs w:val="24"/>
        </w:rPr>
        <w:fldChar w:fldCharType="separate"/>
      </w:r>
      <w:r>
        <w:rPr>
          <w:rFonts w:ascii="Times New Roman" w:hAnsi="Times New Roman" w:eastAsia="楷体"/>
          <w:sz w:val="24"/>
          <w:szCs w:val="24"/>
        </w:rPr>
        <w:t>80</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16BFC382">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"_Toc227694349"</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29</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条款的独立性</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_Toc227694349 \h </w:instrText>
      </w:r>
      <w:r>
        <w:rPr>
          <w:rFonts w:hint="eastAsia" w:ascii="Times New Roman" w:hAnsi="Times New Roman" w:eastAsia="楷体"/>
          <w:sz w:val="24"/>
          <w:szCs w:val="24"/>
        </w:rPr>
        <w:fldChar w:fldCharType="separate"/>
      </w:r>
      <w:r>
        <w:rPr>
          <w:rFonts w:ascii="Times New Roman" w:hAnsi="Times New Roman" w:eastAsia="楷体"/>
          <w:sz w:val="24"/>
          <w:szCs w:val="24"/>
        </w:rPr>
        <w:t>81</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55BC1EBA">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"_Toc227694350"</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30</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合同的生效与终止</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_Toc227694350 \h </w:instrText>
      </w:r>
      <w:r>
        <w:rPr>
          <w:rFonts w:hint="eastAsia" w:ascii="Times New Roman" w:hAnsi="Times New Roman" w:eastAsia="楷体"/>
          <w:sz w:val="24"/>
          <w:szCs w:val="24"/>
        </w:rPr>
        <w:fldChar w:fldCharType="separate"/>
      </w:r>
      <w:r>
        <w:rPr>
          <w:rFonts w:ascii="Times New Roman" w:hAnsi="Times New Roman" w:eastAsia="楷体"/>
          <w:sz w:val="24"/>
          <w:szCs w:val="24"/>
        </w:rPr>
        <w:t>81</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2CF3B0DE">
      <w:pPr>
        <w:pStyle w:val="19"/>
        <w:tabs>
          <w:tab w:val="left" w:pos="630"/>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"_Toc227694351"</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ascii="Times New Roman" w:hAnsi="Times New Roman" w:eastAsia="楷体"/>
          <w:sz w:val="24"/>
          <w:szCs w:val="24"/>
        </w:rPr>
        <w:t>31</w:t>
      </w:r>
      <w:r>
        <w:rPr>
          <w:rFonts w:hint="eastAsia" w:ascii="Times New Roman" w:hAnsi="Times New Roman" w:eastAsia="楷体" w:cs="Times New Roman"/>
          <w:b w:val="0"/>
          <w:bCs w:val="0"/>
          <w:caps w:val="0"/>
          <w:sz w:val="24"/>
          <w:szCs w:val="24"/>
          <w14:ligatures w14:val="standardContextual"/>
        </w:rPr>
        <w:tab/>
      </w:r>
      <w:r>
        <w:rPr>
          <w:rStyle w:val="35"/>
          <w:rFonts w:hint="eastAsia" w:ascii="Times New Roman" w:hAnsi="Times New Roman" w:eastAsia="楷体"/>
          <w:sz w:val="24"/>
          <w:szCs w:val="24"/>
        </w:rPr>
        <w:t>合同文本</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_Toc227694351 \h </w:instrText>
      </w:r>
      <w:r>
        <w:rPr>
          <w:rFonts w:hint="eastAsia" w:ascii="Times New Roman" w:hAnsi="Times New Roman" w:eastAsia="楷体"/>
          <w:sz w:val="24"/>
          <w:szCs w:val="24"/>
        </w:rPr>
        <w:fldChar w:fldCharType="separate"/>
      </w:r>
      <w:r>
        <w:rPr>
          <w:rFonts w:ascii="Times New Roman" w:hAnsi="Times New Roman" w:eastAsia="楷体"/>
          <w:sz w:val="24"/>
          <w:szCs w:val="24"/>
        </w:rPr>
        <w:t>81</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1BD512B0">
      <w:pPr>
        <w:pStyle w:val="19"/>
        <w:tabs>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"_Toc227694352"</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hint="eastAsia" w:ascii="Times New Roman" w:hAnsi="Times New Roman" w:eastAsia="楷体"/>
          <w:sz w:val="24"/>
          <w:szCs w:val="24"/>
        </w:rPr>
        <w:t>附件一：资产清单格式</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_Toc227694352 \h </w:instrText>
      </w:r>
      <w:r>
        <w:rPr>
          <w:rFonts w:hint="eastAsia" w:ascii="Times New Roman" w:hAnsi="Times New Roman" w:eastAsia="楷体"/>
          <w:sz w:val="24"/>
          <w:szCs w:val="24"/>
        </w:rPr>
        <w:fldChar w:fldCharType="separate"/>
      </w:r>
      <w:r>
        <w:rPr>
          <w:rFonts w:ascii="Times New Roman" w:hAnsi="Times New Roman" w:eastAsia="楷体"/>
          <w:sz w:val="24"/>
          <w:szCs w:val="24"/>
        </w:rPr>
        <w:t>84</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583A9BD7">
      <w:pPr>
        <w:pStyle w:val="19"/>
        <w:tabs>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"_Toc227694353"</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hint="eastAsia" w:ascii="Times New Roman" w:hAnsi="Times New Roman" w:eastAsia="楷体"/>
          <w:sz w:val="24"/>
          <w:szCs w:val="24"/>
        </w:rPr>
        <w:t>附件二：确认函格式</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_Toc227694353 \h </w:instrText>
      </w:r>
      <w:r>
        <w:rPr>
          <w:rFonts w:hint="eastAsia" w:ascii="Times New Roman" w:hAnsi="Times New Roman" w:eastAsia="楷体"/>
          <w:sz w:val="24"/>
          <w:szCs w:val="24"/>
        </w:rPr>
        <w:fldChar w:fldCharType="separate"/>
      </w:r>
      <w:r>
        <w:rPr>
          <w:rFonts w:ascii="Times New Roman" w:hAnsi="Times New Roman" w:eastAsia="楷体"/>
          <w:sz w:val="24"/>
          <w:szCs w:val="24"/>
        </w:rPr>
        <w:t>85</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5B795FE5">
      <w:pPr>
        <w:pStyle w:val="19"/>
        <w:tabs>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"_Toc227694354"</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hint="eastAsia" w:ascii="Times New Roman" w:hAnsi="Times New Roman" w:eastAsia="楷体"/>
          <w:sz w:val="24"/>
          <w:szCs w:val="24"/>
        </w:rPr>
        <w:t>附件三：权利完善通知的格式</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_Toc227694354 \h </w:instrText>
      </w:r>
      <w:r>
        <w:rPr>
          <w:rFonts w:hint="eastAsia" w:ascii="Times New Roman" w:hAnsi="Times New Roman" w:eastAsia="楷体"/>
          <w:sz w:val="24"/>
          <w:szCs w:val="24"/>
        </w:rPr>
        <w:fldChar w:fldCharType="separate"/>
      </w:r>
      <w:r>
        <w:rPr>
          <w:rFonts w:ascii="Times New Roman" w:hAnsi="Times New Roman" w:eastAsia="楷体"/>
          <w:sz w:val="24"/>
          <w:szCs w:val="24"/>
        </w:rPr>
        <w:t>86</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5A60B765">
      <w:pPr>
        <w:pStyle w:val="19"/>
        <w:tabs>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"_Toc227694355"</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hint="eastAsia" w:ascii="Times New Roman" w:hAnsi="Times New Roman" w:eastAsia="楷体"/>
          <w:sz w:val="24"/>
          <w:szCs w:val="24"/>
        </w:rPr>
        <w:t>附件四：授权书的格式</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_Toc227694355 \h </w:instrText>
      </w:r>
      <w:r>
        <w:rPr>
          <w:rFonts w:hint="eastAsia" w:ascii="Times New Roman" w:hAnsi="Times New Roman" w:eastAsia="楷体"/>
          <w:sz w:val="24"/>
          <w:szCs w:val="24"/>
        </w:rPr>
        <w:fldChar w:fldCharType="separate"/>
      </w:r>
      <w:r>
        <w:rPr>
          <w:rFonts w:ascii="Times New Roman" w:hAnsi="Times New Roman" w:eastAsia="楷体"/>
          <w:sz w:val="24"/>
          <w:szCs w:val="24"/>
        </w:rPr>
        <w:t>94</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4B688A69">
      <w:pPr>
        <w:pStyle w:val="19"/>
        <w:tabs>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"_Toc227694356"</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hint="eastAsia" w:ascii="Times New Roman" w:hAnsi="Times New Roman" w:eastAsia="楷体"/>
          <w:sz w:val="24"/>
          <w:szCs w:val="24"/>
        </w:rPr>
        <w:t>附件五：资产支持证券本金还款金额计算方式</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_Toc227694356 \h </w:instrText>
      </w:r>
      <w:r>
        <w:rPr>
          <w:rFonts w:hint="eastAsia" w:ascii="Times New Roman" w:hAnsi="Times New Roman" w:eastAsia="楷体"/>
          <w:sz w:val="24"/>
          <w:szCs w:val="24"/>
        </w:rPr>
        <w:fldChar w:fldCharType="separate"/>
      </w:r>
      <w:r>
        <w:rPr>
          <w:rFonts w:ascii="Times New Roman" w:hAnsi="Times New Roman" w:eastAsia="楷体"/>
          <w:sz w:val="24"/>
          <w:szCs w:val="24"/>
        </w:rPr>
        <w:t>95</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0492CD7E">
      <w:pPr>
        <w:pStyle w:val="19"/>
        <w:tabs>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"_Toc227694357"</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hint="eastAsia" w:ascii="Times New Roman" w:hAnsi="Times New Roman" w:eastAsia="楷体"/>
          <w:sz w:val="24"/>
          <w:szCs w:val="24"/>
        </w:rPr>
        <w:t>附件六：清仓回购通知书格式</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_Toc227694357 \h </w:instrText>
      </w:r>
      <w:r>
        <w:rPr>
          <w:rFonts w:hint="eastAsia" w:ascii="Times New Roman" w:hAnsi="Times New Roman" w:eastAsia="楷体"/>
          <w:sz w:val="24"/>
          <w:szCs w:val="24"/>
        </w:rPr>
        <w:fldChar w:fldCharType="separate"/>
      </w:r>
      <w:r>
        <w:rPr>
          <w:rFonts w:ascii="Times New Roman" w:hAnsi="Times New Roman" w:eastAsia="楷体"/>
          <w:sz w:val="24"/>
          <w:szCs w:val="24"/>
        </w:rPr>
        <w:t>98</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0EE20B1B">
      <w:pPr>
        <w:pStyle w:val="19"/>
        <w:tabs>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"_Toc227694358"</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hint="eastAsia" w:ascii="Times New Roman" w:hAnsi="Times New Roman" w:eastAsia="楷体"/>
          <w:sz w:val="24"/>
          <w:szCs w:val="24"/>
        </w:rPr>
        <w:t>附件七：清仓回购要约通知书格式</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_Toc227694358 \h </w:instrText>
      </w:r>
      <w:r>
        <w:rPr>
          <w:rFonts w:hint="eastAsia" w:ascii="Times New Roman" w:hAnsi="Times New Roman" w:eastAsia="楷体"/>
          <w:sz w:val="24"/>
          <w:szCs w:val="24"/>
        </w:rPr>
        <w:fldChar w:fldCharType="separate"/>
      </w:r>
      <w:r>
        <w:rPr>
          <w:rFonts w:ascii="Times New Roman" w:hAnsi="Times New Roman" w:eastAsia="楷体"/>
          <w:sz w:val="24"/>
          <w:szCs w:val="24"/>
        </w:rPr>
        <w:t>99</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10D0C45B">
      <w:pPr>
        <w:pStyle w:val="19"/>
        <w:tabs>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"_Toc227694359"</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hint="eastAsia" w:ascii="Times New Roman" w:hAnsi="Times New Roman" w:eastAsia="楷体"/>
          <w:sz w:val="24"/>
          <w:szCs w:val="24"/>
        </w:rPr>
        <w:t>附件八：清仓回购承诺通知书格式</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_Toc227694359 \h </w:instrText>
      </w:r>
      <w:r>
        <w:rPr>
          <w:rFonts w:hint="eastAsia" w:ascii="Times New Roman" w:hAnsi="Times New Roman" w:eastAsia="楷体"/>
          <w:sz w:val="24"/>
          <w:szCs w:val="24"/>
        </w:rPr>
        <w:fldChar w:fldCharType="separate"/>
      </w:r>
      <w:r>
        <w:rPr>
          <w:rFonts w:ascii="Times New Roman" w:hAnsi="Times New Roman" w:eastAsia="楷体"/>
          <w:sz w:val="24"/>
          <w:szCs w:val="24"/>
        </w:rPr>
        <w:t>101</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34099DB8">
      <w:pPr>
        <w:pStyle w:val="19"/>
        <w:tabs>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"_Toc227694360"</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hint="eastAsia" w:ascii="Times New Roman" w:hAnsi="Times New Roman" w:eastAsia="楷体"/>
          <w:sz w:val="24"/>
          <w:szCs w:val="24"/>
        </w:rPr>
        <w:t>附件九：信托会计处理的原则和方式</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_Toc227694360 \h </w:instrText>
      </w:r>
      <w:r>
        <w:rPr>
          <w:rFonts w:hint="eastAsia" w:ascii="Times New Roman" w:hAnsi="Times New Roman" w:eastAsia="楷体"/>
          <w:sz w:val="24"/>
          <w:szCs w:val="24"/>
        </w:rPr>
        <w:fldChar w:fldCharType="separate"/>
      </w:r>
      <w:r>
        <w:rPr>
          <w:rFonts w:ascii="Times New Roman" w:hAnsi="Times New Roman" w:eastAsia="楷体"/>
          <w:sz w:val="24"/>
          <w:szCs w:val="24"/>
        </w:rPr>
        <w:t>102</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6FF45A55">
      <w:pPr>
        <w:pStyle w:val="19"/>
        <w:tabs>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"_Toc227694361"</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hint="eastAsia" w:ascii="Times New Roman" w:hAnsi="Times New Roman" w:eastAsia="楷体"/>
          <w:sz w:val="24"/>
          <w:szCs w:val="24"/>
        </w:rPr>
        <w:t>附件十：受托机构月度报告和受托机构年度报告格式</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_Toc227694361 \h </w:instrText>
      </w:r>
      <w:r>
        <w:rPr>
          <w:rFonts w:hint="eastAsia" w:ascii="Times New Roman" w:hAnsi="Times New Roman" w:eastAsia="楷体"/>
          <w:sz w:val="24"/>
          <w:szCs w:val="24"/>
        </w:rPr>
        <w:fldChar w:fldCharType="separate"/>
      </w:r>
      <w:r>
        <w:rPr>
          <w:rFonts w:ascii="Times New Roman" w:hAnsi="Times New Roman" w:eastAsia="楷体"/>
          <w:sz w:val="24"/>
          <w:szCs w:val="24"/>
        </w:rPr>
        <w:t>104</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0C3A5B74">
      <w:pPr>
        <w:pStyle w:val="19"/>
        <w:tabs>
          <w:tab w:val="right" w:leader="dot" w:pos="8296"/>
        </w:tabs>
        <w:rPr>
          <w:rFonts w:hint="eastAsia" w:ascii="Times New Roman" w:hAnsi="Times New Roman" w:eastAsia="楷体" w:cs="Times New Roman"/>
          <w:b w:val="0"/>
          <w:bCs w:val="0"/>
          <w:caps w:val="0"/>
          <w:sz w:val="24"/>
          <w:szCs w:val="24"/>
          <w14:ligatures w14:val="standardContextual"/>
        </w:rPr>
      </w:pPr>
      <w:r>
        <w:rPr>
          <w:rStyle w:val="35"/>
          <w:rFonts w:hint="eastAsia" w:ascii="Times New Roman" w:hAnsi="Times New Roman" w:eastAsia="楷体"/>
          <w:sz w:val="24"/>
          <w:szCs w:val="24"/>
        </w:rPr>
        <w:fldChar w:fldCharType="begin"/>
      </w:r>
      <w:r>
        <w:rPr>
          <w:rStyle w:val="35"/>
          <w:rFonts w:ascii="Times New Roman" w:hAnsi="Times New Roman" w:eastAsia="楷体"/>
          <w:sz w:val="24"/>
          <w:szCs w:val="24"/>
        </w:rPr>
        <w:instrText xml:space="preserve"> </w:instrText>
      </w:r>
      <w:r>
        <w:rPr>
          <w:rFonts w:ascii="Times New Roman" w:hAnsi="Times New Roman" w:eastAsia="楷体"/>
          <w:sz w:val="24"/>
          <w:szCs w:val="24"/>
        </w:rPr>
        <w:instrText xml:space="preserve">HYPERLINK \l "_Toc227694362"</w:instrText>
      </w:r>
      <w:r>
        <w:rPr>
          <w:rStyle w:val="35"/>
          <w:rFonts w:ascii="Times New Roman" w:hAnsi="Times New Roman" w:eastAsia="楷体"/>
          <w:sz w:val="24"/>
          <w:szCs w:val="24"/>
        </w:rPr>
        <w:instrText xml:space="preserve"> </w:instrText>
      </w:r>
      <w:r>
        <w:rPr>
          <w:rStyle w:val="35"/>
          <w:rFonts w:hint="eastAsia" w:ascii="Times New Roman" w:hAnsi="Times New Roman" w:eastAsia="楷体"/>
          <w:sz w:val="24"/>
          <w:szCs w:val="24"/>
        </w:rPr>
        <w:fldChar w:fldCharType="separate"/>
      </w:r>
      <w:r>
        <w:rPr>
          <w:rStyle w:val="35"/>
          <w:rFonts w:hint="eastAsia" w:ascii="Times New Roman" w:hAnsi="Times New Roman" w:eastAsia="楷体"/>
          <w:sz w:val="24"/>
          <w:szCs w:val="24"/>
        </w:rPr>
        <w:t>附件十一：重大事件报告书参考格式</w:t>
      </w:r>
      <w:r>
        <w:rPr>
          <w:rFonts w:ascii="Times New Roman" w:hAnsi="Times New Roman" w:eastAsia="楷体"/>
          <w:sz w:val="24"/>
          <w:szCs w:val="24"/>
        </w:rPr>
        <w:tab/>
      </w:r>
      <w:r>
        <w:rPr>
          <w:rFonts w:hint="eastAsia" w:ascii="Times New Roman" w:hAnsi="Times New Roman" w:eastAsia="楷体"/>
          <w:sz w:val="24"/>
          <w:szCs w:val="24"/>
        </w:rPr>
        <w:fldChar w:fldCharType="begin"/>
      </w:r>
      <w:r>
        <w:rPr>
          <w:rFonts w:ascii="Times New Roman" w:hAnsi="Times New Roman" w:eastAsia="楷体"/>
          <w:sz w:val="24"/>
          <w:szCs w:val="24"/>
        </w:rPr>
        <w:instrText xml:space="preserve"> PAGEREF _Toc227694362 \h </w:instrText>
      </w:r>
      <w:r>
        <w:rPr>
          <w:rFonts w:hint="eastAsia" w:ascii="Times New Roman" w:hAnsi="Times New Roman" w:eastAsia="楷体"/>
          <w:sz w:val="24"/>
          <w:szCs w:val="24"/>
        </w:rPr>
        <w:fldChar w:fldCharType="separate"/>
      </w:r>
      <w:r>
        <w:rPr>
          <w:rFonts w:ascii="Times New Roman" w:hAnsi="Times New Roman" w:eastAsia="楷体"/>
          <w:sz w:val="24"/>
          <w:szCs w:val="24"/>
        </w:rPr>
        <w:t>124</w:t>
      </w:r>
      <w:r>
        <w:rPr>
          <w:rFonts w:hint="eastAsia" w:ascii="Times New Roman" w:hAnsi="Times New Roman" w:eastAsia="楷体"/>
          <w:sz w:val="24"/>
          <w:szCs w:val="24"/>
        </w:rPr>
        <w:fldChar w:fldCharType="end"/>
      </w:r>
      <w:r>
        <w:rPr>
          <w:rStyle w:val="35"/>
          <w:rFonts w:hint="eastAsia" w:ascii="Times New Roman" w:hAnsi="Times New Roman" w:eastAsia="楷体"/>
          <w:sz w:val="24"/>
          <w:szCs w:val="24"/>
        </w:rPr>
        <w:fldChar w:fldCharType="end"/>
      </w:r>
    </w:p>
    <w:p w14:paraId="765E2A63">
      <w:pPr>
        <w:pStyle w:val="19"/>
        <w:tabs>
          <w:tab w:val="right" w:leader="dot" w:pos="8296"/>
        </w:tabs>
        <w:spacing w:before="156" w:beforeLines="50" w:after="156" w:afterLines="50"/>
        <w:jc w:val="both"/>
        <w:rPr>
          <w:b w:val="0"/>
          <w:bCs w:val="0"/>
          <w:caps w:val="0"/>
          <w:smallCaps/>
          <w:sz w:val="24"/>
          <w:szCs w:val="24"/>
        </w:rPr>
        <w:sectPr>
          <w:footerReference r:id="rId7" w:type="first"/>
          <w:pgSz w:w="11906" w:h="16838"/>
          <w:pgMar w:top="1440" w:right="1800" w:bottom="1440" w:left="1800" w:header="851" w:footer="992" w:gutter="0"/>
          <w:pgNumType w:start="1"/>
          <w:cols w:space="720" w:num="1"/>
          <w:titlePg/>
          <w:docGrid w:type="lines" w:linePitch="312" w:charSpace="0"/>
        </w:sectPr>
      </w:pPr>
      <w:r>
        <w:rPr>
          <w:rStyle w:val="35"/>
          <w:rFonts w:ascii="Times New Roman" w:hAnsi="Times New Roman" w:eastAsia="楷体_GB2312"/>
          <w:color w:val="auto"/>
          <w:sz w:val="24"/>
          <w:szCs w:val="24"/>
        </w:rPr>
        <w:fldChar w:fldCharType="end"/>
      </w:r>
    </w:p>
    <w:p w14:paraId="158CFE18">
      <w:pPr>
        <w:spacing w:before="156" w:beforeLines="50" w:after="156" w:afterLines="50" w:line="360" w:lineRule="auto"/>
        <w:jc w:val="center"/>
        <w:rPr>
          <w:rFonts w:ascii="Times New Roman" w:hAnsi="Times New Roman" w:eastAsia="楷体_GB2312"/>
          <w:b/>
          <w:sz w:val="24"/>
        </w:rPr>
      </w:pPr>
      <w:r>
        <w:rPr>
          <w:rFonts w:ascii="Times New Roman" w:hAnsi="Times New Roman" w:eastAsia="楷体_GB2312"/>
          <w:b/>
          <w:sz w:val="24"/>
        </w:rPr>
        <w:t>【信托名称】之信托合同</w:t>
      </w:r>
    </w:p>
    <w:p w14:paraId="5CFCA85F">
      <w:p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《【信托名称】之信托合同》（“本合同”）由下列双方于【】年【】月【】日在中国【】市【】区签订。</w:t>
      </w:r>
    </w:p>
    <w:p w14:paraId="63D4338E">
      <w:pPr>
        <w:tabs>
          <w:tab w:val="left" w:pos="2025"/>
          <w:tab w:val="left" w:pos="8928"/>
        </w:tabs>
        <w:spacing w:before="156" w:beforeLines="50" w:after="156" w:afterLines="50" w:line="360" w:lineRule="auto"/>
        <w:rPr>
          <w:rFonts w:ascii="Times New Roman" w:hAnsi="Times New Roman" w:eastAsia="楷体_GB2312"/>
          <w:bCs/>
          <w:sz w:val="24"/>
        </w:rPr>
      </w:pPr>
      <w:r>
        <w:rPr>
          <w:rFonts w:ascii="Times New Roman" w:hAnsi="Times New Roman" w:eastAsia="楷体_GB2312"/>
          <w:b/>
          <w:sz w:val="24"/>
        </w:rPr>
        <w:t>委托人：</w:t>
      </w:r>
      <w:r>
        <w:rPr>
          <w:rFonts w:ascii="Times New Roman" w:hAnsi="Times New Roman" w:eastAsia="楷体_GB2312"/>
          <w:b/>
          <w:sz w:val="24"/>
        </w:rPr>
        <w:tab/>
      </w:r>
      <w:r>
        <w:rPr>
          <w:rFonts w:ascii="Times New Roman" w:hAnsi="Times New Roman" w:eastAsia="楷体_GB2312"/>
          <w:b/>
          <w:bCs/>
          <w:sz w:val="24"/>
        </w:rPr>
        <w:t>【发起机构全称】</w:t>
      </w:r>
      <w:r>
        <w:rPr>
          <w:rFonts w:ascii="Times New Roman" w:hAnsi="Times New Roman" w:eastAsia="楷体_GB2312"/>
          <w:b/>
          <w:bCs/>
          <w:sz w:val="24"/>
        </w:rPr>
        <w:br w:type="textWrapping"/>
      </w:r>
      <w:r>
        <w:rPr>
          <w:rFonts w:ascii="Times New Roman" w:hAnsi="Times New Roman" w:eastAsia="楷体_GB2312"/>
          <w:bCs/>
          <w:sz w:val="24"/>
        </w:rPr>
        <w:t>法定代表人：</w:t>
      </w:r>
      <w:r>
        <w:rPr>
          <w:rFonts w:ascii="Times New Roman" w:hAnsi="Times New Roman" w:eastAsia="楷体_GB2312"/>
          <w:bCs/>
          <w:sz w:val="24"/>
        </w:rPr>
        <w:tab/>
      </w:r>
      <w:r>
        <w:rPr>
          <w:rFonts w:ascii="Times New Roman" w:hAnsi="Times New Roman" w:eastAsia="楷体_GB2312"/>
          <w:bCs/>
          <w:sz w:val="24"/>
        </w:rPr>
        <w:t>【】</w:t>
      </w:r>
      <w:r>
        <w:rPr>
          <w:rFonts w:ascii="Times New Roman" w:hAnsi="Times New Roman" w:eastAsia="楷体_GB2312"/>
          <w:bCs/>
          <w:sz w:val="24"/>
        </w:rPr>
        <w:br w:type="textWrapping"/>
      </w:r>
      <w:r>
        <w:rPr>
          <w:rFonts w:ascii="Times New Roman" w:hAnsi="Times New Roman" w:eastAsia="楷体_GB2312"/>
          <w:bCs/>
          <w:sz w:val="24"/>
        </w:rPr>
        <w:t>注册地址：</w:t>
      </w:r>
      <w:r>
        <w:rPr>
          <w:rFonts w:ascii="Times New Roman" w:hAnsi="Times New Roman" w:eastAsia="楷体_GB2312"/>
          <w:bCs/>
          <w:sz w:val="24"/>
        </w:rPr>
        <w:tab/>
      </w:r>
      <w:r>
        <w:rPr>
          <w:rFonts w:ascii="Times New Roman" w:hAnsi="Times New Roman" w:eastAsia="楷体_GB2312"/>
          <w:bCs/>
          <w:sz w:val="24"/>
        </w:rPr>
        <w:t>【】</w:t>
      </w:r>
      <w:r>
        <w:rPr>
          <w:rFonts w:ascii="Times New Roman" w:hAnsi="Times New Roman" w:eastAsia="楷体_GB2312"/>
          <w:bCs/>
          <w:sz w:val="24"/>
        </w:rPr>
        <w:br w:type="textWrapping"/>
      </w:r>
      <w:r>
        <w:rPr>
          <w:rFonts w:ascii="Times New Roman" w:hAnsi="Times New Roman" w:eastAsia="楷体_GB2312"/>
          <w:bCs/>
          <w:sz w:val="24"/>
        </w:rPr>
        <w:t>邮政编码：</w:t>
      </w:r>
      <w:r>
        <w:rPr>
          <w:rFonts w:ascii="Times New Roman" w:hAnsi="Times New Roman" w:eastAsia="楷体_GB2312"/>
          <w:bCs/>
          <w:sz w:val="24"/>
        </w:rPr>
        <w:tab/>
      </w:r>
      <w:r>
        <w:rPr>
          <w:rFonts w:ascii="Times New Roman" w:hAnsi="Times New Roman" w:eastAsia="楷体_GB2312"/>
          <w:bCs/>
          <w:sz w:val="24"/>
        </w:rPr>
        <w:t>【】</w:t>
      </w:r>
      <w:r>
        <w:rPr>
          <w:rFonts w:ascii="Times New Roman" w:hAnsi="Times New Roman" w:eastAsia="楷体_GB2312"/>
          <w:bCs/>
          <w:sz w:val="24"/>
        </w:rPr>
        <w:br w:type="textWrapping"/>
      </w:r>
    </w:p>
    <w:p w14:paraId="5ECAAFC4">
      <w:pPr>
        <w:spacing w:before="156" w:beforeLines="50" w:after="156" w:afterLines="50"/>
        <w:rPr>
          <w:rFonts w:ascii="Times New Roman" w:hAnsi="Times New Roman" w:eastAsia="楷体_GB2312"/>
          <w:bCs/>
          <w:sz w:val="24"/>
        </w:rPr>
      </w:pPr>
      <w:r>
        <w:rPr>
          <w:rFonts w:ascii="Times New Roman" w:hAnsi="Times New Roman" w:eastAsia="楷体_GB2312"/>
          <w:b/>
          <w:sz w:val="24"/>
        </w:rPr>
        <w:t>受托人：</w:t>
      </w:r>
      <w:r>
        <w:rPr>
          <w:rFonts w:hint="eastAsia" w:ascii="Times New Roman" w:hAnsi="Times New Roman" w:eastAsia="楷体_GB2312"/>
          <w:bCs/>
          <w:sz w:val="24"/>
        </w:rPr>
        <w:t xml:space="preserve">          </w:t>
      </w:r>
      <w:r>
        <w:rPr>
          <w:rFonts w:ascii="Times New Roman" w:hAnsi="Times New Roman" w:eastAsia="楷体_GB2312"/>
          <w:b/>
          <w:bCs/>
          <w:sz w:val="24"/>
        </w:rPr>
        <w:t>【受托机构全称】</w:t>
      </w:r>
    </w:p>
    <w:p w14:paraId="20C5E299">
      <w:pPr>
        <w:spacing w:before="156" w:beforeLines="50" w:after="156" w:afterLines="50"/>
        <w:rPr>
          <w:rFonts w:ascii="Times New Roman" w:hAnsi="Times New Roman" w:eastAsia="楷体_GB2312"/>
          <w:bCs/>
          <w:sz w:val="24"/>
        </w:rPr>
      </w:pPr>
      <w:r>
        <w:rPr>
          <w:rFonts w:ascii="Times New Roman" w:hAnsi="Times New Roman" w:eastAsia="楷体_GB2312"/>
          <w:bCs/>
          <w:sz w:val="24"/>
        </w:rPr>
        <w:t>法定代表人：</w:t>
      </w:r>
      <w:r>
        <w:rPr>
          <w:rFonts w:hint="eastAsia" w:ascii="Times New Roman" w:hAnsi="Times New Roman" w:eastAsia="楷体_GB2312"/>
          <w:bCs/>
          <w:sz w:val="24"/>
        </w:rPr>
        <w:t xml:space="preserve">      </w:t>
      </w:r>
      <w:r>
        <w:rPr>
          <w:rFonts w:ascii="Times New Roman" w:hAnsi="Times New Roman" w:eastAsia="楷体_GB2312"/>
          <w:bCs/>
          <w:sz w:val="24"/>
        </w:rPr>
        <w:t>【】</w:t>
      </w:r>
    </w:p>
    <w:p w14:paraId="6292CCBD">
      <w:pPr>
        <w:spacing w:before="156" w:beforeLines="50" w:after="156" w:afterLines="50"/>
        <w:rPr>
          <w:rFonts w:ascii="Times New Roman" w:hAnsi="Times New Roman" w:eastAsia="楷体_GB2312"/>
          <w:bCs/>
          <w:sz w:val="24"/>
        </w:rPr>
      </w:pPr>
      <w:r>
        <w:rPr>
          <w:rFonts w:ascii="Times New Roman" w:hAnsi="Times New Roman" w:eastAsia="楷体_GB2312"/>
          <w:bCs/>
          <w:sz w:val="24"/>
        </w:rPr>
        <w:t>注册地址：</w:t>
      </w:r>
      <w:r>
        <w:rPr>
          <w:rFonts w:hint="eastAsia" w:ascii="Times New Roman" w:hAnsi="Times New Roman" w:eastAsia="楷体_GB2312"/>
          <w:bCs/>
          <w:sz w:val="24"/>
        </w:rPr>
        <w:t xml:space="preserve">        </w:t>
      </w:r>
      <w:r>
        <w:rPr>
          <w:rFonts w:ascii="Times New Roman" w:hAnsi="Times New Roman" w:eastAsia="楷体_GB2312"/>
          <w:bCs/>
          <w:sz w:val="24"/>
        </w:rPr>
        <w:t>【】</w:t>
      </w:r>
    </w:p>
    <w:p w14:paraId="34C5619A">
      <w:pPr>
        <w:spacing w:before="156" w:beforeLines="50" w:after="156" w:afterLines="50"/>
        <w:rPr>
          <w:rFonts w:ascii="Times New Roman" w:hAnsi="Times New Roman" w:eastAsia="楷体_GB2312"/>
          <w:bCs/>
          <w:sz w:val="24"/>
        </w:rPr>
      </w:pPr>
      <w:r>
        <w:rPr>
          <w:rFonts w:ascii="Times New Roman" w:hAnsi="Times New Roman" w:eastAsia="楷体_GB2312"/>
          <w:bCs/>
          <w:sz w:val="24"/>
        </w:rPr>
        <w:t>邮政编码：</w:t>
      </w:r>
      <w:r>
        <w:rPr>
          <w:rFonts w:hint="eastAsia" w:ascii="Times New Roman" w:hAnsi="Times New Roman" w:eastAsia="楷体_GB2312"/>
          <w:bCs/>
          <w:sz w:val="24"/>
        </w:rPr>
        <w:t xml:space="preserve">        </w:t>
      </w:r>
      <w:r>
        <w:rPr>
          <w:rFonts w:ascii="Times New Roman" w:hAnsi="Times New Roman" w:eastAsia="楷体_GB2312"/>
          <w:bCs/>
          <w:sz w:val="24"/>
        </w:rPr>
        <w:t>【】</w:t>
      </w:r>
    </w:p>
    <w:p w14:paraId="133E1CDA">
      <w:pPr>
        <w:tabs>
          <w:tab w:val="left" w:pos="2025"/>
          <w:tab w:val="left" w:pos="8928"/>
        </w:tabs>
        <w:spacing w:before="156" w:beforeLines="50" w:after="156" w:afterLines="50" w:line="360" w:lineRule="auto"/>
        <w:rPr>
          <w:rFonts w:ascii="Times New Roman" w:hAnsi="Times New Roman" w:eastAsia="楷体_GB2312"/>
          <w:bCs/>
          <w:sz w:val="24"/>
        </w:rPr>
      </w:pPr>
    </w:p>
    <w:p w14:paraId="50E58ABF">
      <w:pPr>
        <w:tabs>
          <w:tab w:val="left" w:pos="0"/>
          <w:tab w:val="left" w:pos="8928"/>
        </w:tabs>
        <w:spacing w:before="156" w:beforeLines="50" w:after="156" w:afterLines="50" w:line="360" w:lineRule="auto"/>
        <w:rPr>
          <w:rFonts w:ascii="Times New Roman" w:hAnsi="Times New Roman" w:eastAsia="楷体_GB2312"/>
          <w:bCs/>
          <w:sz w:val="24"/>
        </w:rPr>
      </w:pPr>
      <w:r>
        <w:rPr>
          <w:rFonts w:ascii="Times New Roman" w:hAnsi="Times New Roman" w:eastAsia="楷体_GB2312"/>
          <w:bCs/>
          <w:sz w:val="24"/>
        </w:rPr>
        <w:t>以上主体合称为</w:t>
      </w:r>
      <w:r>
        <w:rPr>
          <w:rFonts w:ascii="Times New Roman" w:hAnsi="Times New Roman" w:eastAsia="楷体_GB2312"/>
          <w:sz w:val="24"/>
        </w:rPr>
        <w:t>“</w:t>
      </w:r>
      <w:r>
        <w:rPr>
          <w:rFonts w:ascii="Times New Roman" w:hAnsi="Times New Roman" w:eastAsia="楷体_GB2312"/>
          <w:bCs/>
          <w:sz w:val="24"/>
        </w:rPr>
        <w:t>双方</w:t>
      </w:r>
      <w:r>
        <w:rPr>
          <w:rFonts w:ascii="Times New Roman" w:hAnsi="Times New Roman" w:eastAsia="楷体_GB2312"/>
          <w:sz w:val="24"/>
        </w:rPr>
        <w:t>”</w:t>
      </w:r>
      <w:r>
        <w:rPr>
          <w:rFonts w:ascii="Times New Roman" w:hAnsi="Times New Roman" w:eastAsia="楷体_GB2312"/>
          <w:bCs/>
          <w:sz w:val="24"/>
        </w:rPr>
        <w:t>，单称为</w:t>
      </w:r>
      <w:r>
        <w:rPr>
          <w:rFonts w:ascii="Times New Roman" w:hAnsi="Times New Roman" w:eastAsia="楷体_GB2312"/>
          <w:sz w:val="24"/>
        </w:rPr>
        <w:t>“</w:t>
      </w:r>
      <w:r>
        <w:rPr>
          <w:rFonts w:ascii="Times New Roman" w:hAnsi="Times New Roman" w:eastAsia="楷体_GB2312"/>
          <w:bCs/>
          <w:sz w:val="24"/>
        </w:rPr>
        <w:t>一方</w:t>
      </w:r>
      <w:r>
        <w:rPr>
          <w:rFonts w:ascii="Times New Roman" w:hAnsi="Times New Roman" w:eastAsia="楷体_GB2312"/>
          <w:sz w:val="24"/>
        </w:rPr>
        <w:t>”</w:t>
      </w:r>
      <w:r>
        <w:rPr>
          <w:rFonts w:ascii="Times New Roman" w:hAnsi="Times New Roman" w:eastAsia="楷体_GB2312"/>
          <w:bCs/>
          <w:sz w:val="24"/>
        </w:rPr>
        <w:t>。</w:t>
      </w:r>
    </w:p>
    <w:p w14:paraId="11089A08">
      <w:pPr>
        <w:pStyle w:val="12"/>
        <w:spacing w:before="156" w:beforeLines="50" w:after="156" w:afterLines="50" w:line="360" w:lineRule="auto"/>
        <w:rPr>
          <w:rFonts w:ascii="Times New Roman" w:hAnsi="Times New Roman"/>
        </w:rPr>
      </w:pPr>
      <w:r>
        <w:rPr>
          <w:rFonts w:ascii="Times New Roman" w:hAnsi="Times New Roman"/>
        </w:rPr>
        <w:t>鉴于：</w:t>
      </w:r>
    </w:p>
    <w:p w14:paraId="1209D3D1">
      <w:pPr>
        <w:pStyle w:val="52"/>
        <w:numPr>
          <w:ilvl w:val="0"/>
          <w:numId w:val="5"/>
        </w:numPr>
        <w:tabs>
          <w:tab w:val="left" w:pos="425"/>
          <w:tab w:val="left" w:pos="992"/>
        </w:tabs>
        <w:spacing w:before="156" w:beforeLines="50" w:after="156" w:afterLines="50"/>
        <w:rPr>
          <w:rFonts w:ascii="Times New Roman" w:hAnsi="Times New Roman" w:eastAsia="楷体_GB2312"/>
        </w:rPr>
      </w:pPr>
      <w:r>
        <w:rPr>
          <w:rFonts w:ascii="Times New Roman" w:hAnsi="Times New Roman" w:eastAsia="楷体_GB2312"/>
        </w:rPr>
        <w:t>“委托人”愿意将其合法所有的初始“资产”委托给“受托人”设立“信托”，由“受托人”发行“资产支持证券”，并由“受托人”管理、运用和处分“信托财产”。</w:t>
      </w:r>
    </w:p>
    <w:p w14:paraId="1E0FA12A">
      <w:pPr>
        <w:pStyle w:val="52"/>
        <w:numPr>
          <w:ilvl w:val="0"/>
          <w:numId w:val="5"/>
        </w:numPr>
        <w:tabs>
          <w:tab w:val="left" w:pos="425"/>
          <w:tab w:val="left" w:pos="992"/>
        </w:tabs>
        <w:spacing w:before="156" w:beforeLines="50" w:after="156" w:afterLines="50"/>
        <w:rPr>
          <w:rFonts w:ascii="Times New Roman" w:hAnsi="Times New Roman" w:eastAsia="楷体_GB2312"/>
        </w:rPr>
      </w:pPr>
      <w:r>
        <w:rPr>
          <w:rFonts w:ascii="Times New Roman" w:hAnsi="Times New Roman" w:eastAsia="楷体_GB2312"/>
        </w:rPr>
        <w:t>“受托人”同意接受“委托人”的委托，并同意根据本合同及其他“交易文件”的约定发行“资产支持证券”及管理、运用、处分“信托财产”。</w:t>
      </w:r>
    </w:p>
    <w:p w14:paraId="58A6907D">
      <w:pPr>
        <w:spacing w:before="156" w:beforeLines="50" w:after="156" w:afterLines="50" w:line="360" w:lineRule="auto"/>
        <w:ind w:firstLine="480"/>
        <w:rPr>
          <w:rFonts w:ascii="Times New Roman" w:hAnsi="Times New Roman" w:eastAsia="楷体_GB2312"/>
          <w:sz w:val="24"/>
        </w:rPr>
      </w:pPr>
      <w:r>
        <w:rPr>
          <w:rFonts w:ascii="Times New Roman" w:hAnsi="Times New Roman" w:eastAsia="楷体_GB2312"/>
          <w:sz w:val="24"/>
        </w:rPr>
        <w:t>根据《中华人民共和国信托法》、《中华人民共和国民法典》、《信托公司管理办法》、《信贷资产证券化试点管理办法》、《金融机构信贷资产证券化试点监督管理办法》、《中国银保监会办公厅关于银行业金融机构信贷资产证券化信息登记有关事项的通知》（银保监办发〔2020〕99号）、中国人民银行公告〔2015〕第7号及其他应适用的“中国”“法律”的规定，本着平等、互利、诚实信用的原则，在充分友好协商的基础上达成本合同，以昭信守。</w:t>
      </w:r>
    </w:p>
    <w:p w14:paraId="0901E926">
      <w:pPr>
        <w:spacing w:before="156" w:beforeLines="50" w:after="156" w:afterLines="50" w:line="360" w:lineRule="auto"/>
        <w:rPr>
          <w:rFonts w:ascii="Times New Roman" w:hAnsi="Times New Roman" w:eastAsia="楷体_GB2312"/>
          <w:b/>
          <w:bCs/>
          <w:i/>
          <w:iCs/>
          <w:color w:val="FF0000"/>
          <w:sz w:val="24"/>
        </w:rPr>
      </w:pPr>
      <w:r>
        <w:rPr>
          <w:rFonts w:ascii="Times New Roman" w:hAnsi="Times New Roman" w:eastAsia="楷体_GB2312"/>
          <w:b/>
          <w:bCs/>
          <w:i/>
          <w:iCs/>
          <w:color w:val="FF0000"/>
          <w:sz w:val="24"/>
        </w:rPr>
        <w:t>【注：1、本标准</w:t>
      </w:r>
      <w:r>
        <w:rPr>
          <w:rFonts w:hint="eastAsia" w:ascii="Times New Roman" w:hAnsi="Times New Roman" w:eastAsia="楷体_GB2312"/>
          <w:b/>
          <w:bCs/>
          <w:i/>
          <w:iCs/>
          <w:color w:val="FF0000"/>
          <w:sz w:val="24"/>
          <w:lang w:eastAsia="zh-CN"/>
        </w:rPr>
        <w:t>合同</w:t>
      </w:r>
      <w:r>
        <w:rPr>
          <w:rFonts w:ascii="Times New Roman" w:hAnsi="Times New Roman" w:eastAsia="楷体_GB2312"/>
          <w:b/>
          <w:bCs/>
          <w:i/>
          <w:iCs/>
          <w:color w:val="FF0000"/>
          <w:sz w:val="24"/>
        </w:rPr>
        <w:t>中包含了信托设立后持续购买资产的安排。如具体项目不涉及持续购买安排，使用时需删除持续购买相关内容。2、就本合同引用的法律法规，均应根据届时适用的最新法律法规进行补充和调整，下同。】</w:t>
      </w:r>
    </w:p>
    <w:p w14:paraId="295A1333">
      <w:pPr>
        <w:numPr>
          <w:ilvl w:val="0"/>
          <w:numId w:val="6"/>
        </w:numPr>
        <w:spacing w:before="156" w:beforeLines="50" w:after="156" w:afterLines="50" w:line="360" w:lineRule="auto"/>
        <w:outlineLvl w:val="0"/>
        <w:rPr>
          <w:rFonts w:ascii="Times New Roman" w:hAnsi="Times New Roman" w:eastAsia="楷体_GB2312"/>
          <w:b/>
          <w:sz w:val="24"/>
        </w:rPr>
      </w:pPr>
      <w:bookmarkStart w:id="0" w:name="_Toc204497511"/>
      <w:bookmarkEnd w:id="0"/>
      <w:bookmarkStart w:id="1" w:name="_Toc110153411"/>
      <w:bookmarkStart w:id="2" w:name="_Toc92612901"/>
      <w:bookmarkStart w:id="3" w:name="_Toc201569372"/>
      <w:bookmarkStart w:id="4" w:name="_Toc111281763"/>
      <w:bookmarkStart w:id="5" w:name="_Toc227694321"/>
      <w:r>
        <w:rPr>
          <w:rFonts w:ascii="Times New Roman" w:hAnsi="Times New Roman" w:eastAsia="楷体_GB2312"/>
          <w:b/>
          <w:sz w:val="24"/>
        </w:rPr>
        <w:t>定义</w:t>
      </w:r>
      <w:bookmarkEnd w:id="1"/>
      <w:bookmarkEnd w:id="2"/>
      <w:bookmarkEnd w:id="3"/>
      <w:bookmarkEnd w:id="4"/>
      <w:bookmarkEnd w:id="5"/>
    </w:p>
    <w:p w14:paraId="7F9F4E6F">
      <w:pPr>
        <w:spacing w:before="156" w:beforeLines="50" w:after="156" w:afterLines="50" w:line="360" w:lineRule="auto"/>
        <w:ind w:left="424" w:leftChars="202"/>
        <w:rPr>
          <w:rFonts w:ascii="Times New Roman" w:hAnsi="Times New Roman" w:eastAsia="楷体_GB2312"/>
          <w:bCs/>
          <w:sz w:val="24"/>
        </w:rPr>
      </w:pPr>
      <w:r>
        <w:rPr>
          <w:rFonts w:ascii="Times New Roman" w:hAnsi="Times New Roman" w:eastAsia="楷体_GB2312"/>
          <w:sz w:val="24"/>
        </w:rPr>
        <w:t>在本合同中，除非上下文另有解释或文义另作说明，</w:t>
      </w:r>
      <w:r>
        <w:rPr>
          <w:rFonts w:ascii="Times New Roman" w:hAnsi="Times New Roman" w:eastAsia="楷体_GB2312"/>
          <w:bCs/>
          <w:sz w:val="24"/>
        </w:rPr>
        <w:t>本合同中的词语</w:t>
      </w:r>
      <w:r>
        <w:rPr>
          <w:rFonts w:ascii="Times New Roman" w:hAnsi="Times New Roman" w:eastAsia="楷体_GB2312"/>
          <w:sz w:val="24"/>
        </w:rPr>
        <w:t>或简称</w:t>
      </w:r>
      <w:r>
        <w:rPr>
          <w:rFonts w:ascii="Times New Roman" w:hAnsi="Times New Roman" w:eastAsia="楷体_GB2312"/>
          <w:bCs/>
          <w:sz w:val="24"/>
        </w:rPr>
        <w:t>以及所述的解释规则与由本合同双方于本合同签署之日签订的《【信托名称】主定义表》中所定义的词语以及所列示的解释规则，具有相同的含义。</w:t>
      </w:r>
    </w:p>
    <w:p w14:paraId="1D910065">
      <w:pPr>
        <w:numPr>
          <w:ilvl w:val="0"/>
          <w:numId w:val="6"/>
        </w:numPr>
        <w:spacing w:before="156" w:beforeLines="50" w:after="156" w:afterLines="50" w:line="360" w:lineRule="auto"/>
        <w:outlineLvl w:val="0"/>
        <w:rPr>
          <w:rFonts w:ascii="Times New Roman" w:hAnsi="Times New Roman" w:eastAsia="楷体_GB2312"/>
          <w:b/>
          <w:bCs/>
          <w:sz w:val="24"/>
        </w:rPr>
      </w:pPr>
      <w:bookmarkStart w:id="6" w:name="_Toc204497513"/>
      <w:bookmarkEnd w:id="6"/>
      <w:bookmarkStart w:id="7" w:name="_Toc227694322"/>
      <w:bookmarkStart w:id="8" w:name="_Toc111281764"/>
      <w:bookmarkStart w:id="9" w:name="_Toc201569373"/>
      <w:bookmarkStart w:id="10" w:name="_Toc110153412"/>
      <w:r>
        <w:rPr>
          <w:rFonts w:ascii="Times New Roman" w:hAnsi="Times New Roman" w:eastAsia="楷体_GB2312"/>
          <w:b/>
          <w:bCs/>
          <w:sz w:val="24"/>
        </w:rPr>
        <w:t>信托目的</w:t>
      </w:r>
      <w:bookmarkEnd w:id="7"/>
      <w:bookmarkEnd w:id="8"/>
      <w:bookmarkEnd w:id="9"/>
      <w:bookmarkEnd w:id="10"/>
    </w:p>
    <w:p w14:paraId="5EC8F722">
      <w:pPr>
        <w:numPr>
          <w:ilvl w:val="1"/>
          <w:numId w:val="6"/>
        </w:numPr>
        <w:spacing w:before="156" w:beforeLines="50" w:after="156" w:afterLines="50" w:line="360" w:lineRule="auto"/>
        <w:ind w:left="851" w:hanging="425"/>
        <w:rPr>
          <w:rFonts w:ascii="Times New Roman" w:hAnsi="Times New Roman" w:eastAsia="楷体_GB2312"/>
          <w:sz w:val="24"/>
        </w:rPr>
      </w:pPr>
      <w:r>
        <w:rPr>
          <w:rFonts w:ascii="Times New Roman" w:hAnsi="Times New Roman" w:eastAsia="楷体_GB2312"/>
          <w:sz w:val="24"/>
        </w:rPr>
        <w:t>为了实现资产证券化，“委托人”基于对“受托人”的信任，根据本合同将其合法所有的初始“资产”信托予“受托人”设立“信托”作为特殊目的载体，由“受托人”为“资产支持证券持有人”的利益</w:t>
      </w:r>
      <w:r>
        <w:rPr>
          <w:rFonts w:ascii="Times New Roman" w:hAnsi="Times New Roman" w:eastAsia="楷体_GB2312"/>
          <w:bCs/>
          <w:sz w:val="24"/>
        </w:rPr>
        <w:t>管理、运用和处分</w:t>
      </w:r>
      <w:r>
        <w:rPr>
          <w:rFonts w:ascii="Times New Roman" w:hAnsi="Times New Roman" w:eastAsia="楷体_GB2312"/>
          <w:sz w:val="24"/>
        </w:rPr>
        <w:t>“</w:t>
      </w:r>
      <w:r>
        <w:rPr>
          <w:rFonts w:ascii="Times New Roman" w:hAnsi="Times New Roman" w:eastAsia="楷体_GB2312"/>
          <w:bCs/>
          <w:sz w:val="24"/>
        </w:rPr>
        <w:t>信托财产</w:t>
      </w:r>
      <w:r>
        <w:rPr>
          <w:rFonts w:ascii="Times New Roman" w:hAnsi="Times New Roman" w:eastAsia="楷体_GB2312"/>
          <w:sz w:val="24"/>
        </w:rPr>
        <w:t>”。</w:t>
      </w:r>
    </w:p>
    <w:p w14:paraId="5EBDC863">
      <w:pPr>
        <w:numPr>
          <w:ilvl w:val="1"/>
          <w:numId w:val="6"/>
        </w:numPr>
        <w:spacing w:before="156" w:beforeLines="50" w:after="156" w:afterLines="50" w:line="360" w:lineRule="auto"/>
        <w:ind w:left="851" w:hanging="425"/>
        <w:rPr>
          <w:rFonts w:ascii="Times New Roman" w:hAnsi="Times New Roman" w:eastAsia="楷体_GB2312"/>
          <w:sz w:val="24"/>
        </w:rPr>
      </w:pPr>
      <w:r>
        <w:rPr>
          <w:rFonts w:ascii="Times New Roman" w:hAnsi="Times New Roman" w:eastAsia="楷体_GB2312"/>
          <w:sz w:val="24"/>
        </w:rPr>
        <w:t>通过“信托”的设立，实现初始“资产”与“委托人”的其他自有资产的风险隔离，实现初始“资产”与“委托人”自身的破产风险相隔离，实现投资者以“信托财产”为限进行追索，从而保护“资产支持证券持有人”的利益，提高金融资源配置效率。</w:t>
      </w:r>
    </w:p>
    <w:p w14:paraId="31BD7387">
      <w:pPr>
        <w:numPr>
          <w:ilvl w:val="0"/>
          <w:numId w:val="6"/>
        </w:numPr>
        <w:spacing w:before="156" w:beforeLines="50" w:after="156" w:afterLines="50" w:line="360" w:lineRule="auto"/>
        <w:outlineLvl w:val="0"/>
        <w:rPr>
          <w:rFonts w:ascii="Times New Roman" w:hAnsi="Times New Roman" w:eastAsia="楷体_GB2312"/>
          <w:b/>
          <w:sz w:val="24"/>
        </w:rPr>
      </w:pPr>
      <w:bookmarkStart w:id="11" w:name="_Toc204497515"/>
      <w:bookmarkEnd w:id="11"/>
      <w:bookmarkStart w:id="12" w:name="_Toc201569374"/>
      <w:bookmarkStart w:id="13" w:name="_Toc110153413"/>
      <w:bookmarkStart w:id="14" w:name="_Toc227694323"/>
      <w:bookmarkStart w:id="15" w:name="_Toc111281765"/>
      <w:bookmarkStart w:id="16" w:name="_Toc92612903"/>
      <w:r>
        <w:rPr>
          <w:rFonts w:ascii="Times New Roman" w:hAnsi="Times New Roman" w:eastAsia="楷体_GB2312"/>
          <w:b/>
          <w:sz w:val="24"/>
        </w:rPr>
        <w:t>信托的设立</w:t>
      </w:r>
      <w:bookmarkEnd w:id="12"/>
      <w:bookmarkEnd w:id="13"/>
      <w:bookmarkEnd w:id="14"/>
      <w:bookmarkEnd w:id="15"/>
      <w:bookmarkEnd w:id="16"/>
    </w:p>
    <w:p w14:paraId="4C05DBA8">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bookmarkStart w:id="17" w:name="_Toc111281766"/>
      <w:bookmarkStart w:id="18" w:name="_Toc201569375"/>
      <w:bookmarkStart w:id="19" w:name="_Toc110153414"/>
      <w:r>
        <w:rPr>
          <w:rFonts w:ascii="Times New Roman" w:hAnsi="Times New Roman" w:eastAsia="楷体_GB2312"/>
          <w:b/>
          <w:sz w:val="24"/>
        </w:rPr>
        <w:t>信托的名称</w:t>
      </w:r>
      <w:bookmarkEnd w:id="17"/>
      <w:bookmarkEnd w:id="18"/>
      <w:bookmarkEnd w:id="19"/>
    </w:p>
    <w:p w14:paraId="17C89F2A">
      <w:pPr>
        <w:spacing w:before="156" w:beforeLines="50" w:after="156" w:afterLines="50" w:line="360" w:lineRule="auto"/>
        <w:ind w:left="840" w:firstLine="57" w:firstLineChars="24"/>
        <w:rPr>
          <w:rFonts w:ascii="Times New Roman" w:hAnsi="Times New Roman" w:eastAsia="楷体_GB2312"/>
          <w:bCs/>
          <w:sz w:val="24"/>
        </w:rPr>
      </w:pPr>
      <w:r>
        <w:rPr>
          <w:rFonts w:ascii="Times New Roman" w:hAnsi="Times New Roman" w:eastAsia="楷体_GB2312"/>
          <w:sz w:val="24"/>
        </w:rPr>
        <w:t>“</w:t>
      </w:r>
      <w:r>
        <w:rPr>
          <w:rFonts w:ascii="Times New Roman" w:hAnsi="Times New Roman" w:eastAsia="楷体_GB2312"/>
          <w:bCs/>
          <w:sz w:val="24"/>
        </w:rPr>
        <w:t>信托</w:t>
      </w:r>
      <w:r>
        <w:rPr>
          <w:rFonts w:ascii="Times New Roman" w:hAnsi="Times New Roman" w:eastAsia="楷体_GB2312"/>
          <w:sz w:val="24"/>
        </w:rPr>
        <w:t>”</w:t>
      </w:r>
      <w:r>
        <w:rPr>
          <w:rFonts w:ascii="Times New Roman" w:hAnsi="Times New Roman" w:eastAsia="楷体_GB2312"/>
          <w:bCs/>
          <w:sz w:val="24"/>
        </w:rPr>
        <w:t>的名称为</w:t>
      </w:r>
      <w:r>
        <w:rPr>
          <w:rFonts w:ascii="Times New Roman" w:hAnsi="Times New Roman" w:eastAsia="楷体_GB2312"/>
          <w:sz w:val="24"/>
        </w:rPr>
        <w:t>“</w:t>
      </w:r>
      <w:r>
        <w:rPr>
          <w:rFonts w:ascii="Times New Roman" w:hAnsi="Times New Roman" w:eastAsia="楷体_GB2312"/>
          <w:bCs/>
          <w:sz w:val="24"/>
        </w:rPr>
        <w:t>【信托名称】</w:t>
      </w:r>
      <w:r>
        <w:rPr>
          <w:rFonts w:ascii="Times New Roman" w:hAnsi="Times New Roman" w:eastAsia="楷体_GB2312"/>
          <w:sz w:val="24"/>
        </w:rPr>
        <w:t>”</w:t>
      </w:r>
      <w:r>
        <w:rPr>
          <w:rFonts w:ascii="Times New Roman" w:hAnsi="Times New Roman" w:eastAsia="楷体_GB2312"/>
          <w:bCs/>
          <w:sz w:val="24"/>
        </w:rPr>
        <w:t>。</w:t>
      </w:r>
    </w:p>
    <w:p w14:paraId="068ECDA7">
      <w:pPr>
        <w:numPr>
          <w:ilvl w:val="1"/>
          <w:numId w:val="6"/>
        </w:numPr>
        <w:spacing w:before="156" w:beforeLines="50" w:after="156" w:afterLines="50" w:line="360" w:lineRule="auto"/>
        <w:outlineLvl w:val="1"/>
        <w:rPr>
          <w:rFonts w:ascii="Times New Roman" w:hAnsi="Times New Roman" w:eastAsia="楷体_GB2312"/>
          <w:b/>
          <w:sz w:val="24"/>
        </w:rPr>
      </w:pPr>
      <w:bookmarkStart w:id="20" w:name="_Toc106417340"/>
      <w:bookmarkEnd w:id="20"/>
      <w:bookmarkStart w:id="21" w:name="_Toc92612904"/>
      <w:bookmarkStart w:id="22" w:name="_Toc201569376"/>
      <w:bookmarkStart w:id="23" w:name="_Toc111281767"/>
      <w:bookmarkStart w:id="24" w:name="_Toc110153415"/>
      <w:r>
        <w:rPr>
          <w:rFonts w:ascii="Times New Roman" w:hAnsi="Times New Roman" w:eastAsia="楷体_GB2312"/>
          <w:b/>
          <w:sz w:val="24"/>
        </w:rPr>
        <w:t>信托当事人</w:t>
      </w:r>
      <w:bookmarkEnd w:id="21"/>
      <w:bookmarkEnd w:id="22"/>
      <w:bookmarkEnd w:id="23"/>
      <w:bookmarkEnd w:id="24"/>
    </w:p>
    <w:p w14:paraId="2F742668">
      <w:pPr>
        <w:numPr>
          <w:ilvl w:val="2"/>
          <w:numId w:val="6"/>
        </w:numPr>
        <w:spacing w:before="156" w:beforeLines="50" w:after="156" w:afterLines="50" w:line="360" w:lineRule="auto"/>
        <w:rPr>
          <w:rFonts w:ascii="Times New Roman" w:hAnsi="Times New Roman" w:eastAsia="楷体_GB2312"/>
          <w:b/>
          <w:bCs/>
          <w:sz w:val="24"/>
        </w:rPr>
      </w:pPr>
      <w:r>
        <w:rPr>
          <w:rFonts w:ascii="Times New Roman" w:hAnsi="Times New Roman" w:eastAsia="楷体_GB2312"/>
          <w:b/>
          <w:bCs/>
          <w:sz w:val="24"/>
        </w:rPr>
        <w:t>委托人：</w:t>
      </w:r>
      <w:r>
        <w:rPr>
          <w:rFonts w:ascii="Times New Roman" w:hAnsi="Times New Roman" w:eastAsia="楷体_GB2312"/>
          <w:bCs/>
          <w:sz w:val="24"/>
        </w:rPr>
        <w:t>“信托”的“委托人”为</w:t>
      </w:r>
      <w:r>
        <w:rPr>
          <w:rFonts w:ascii="Times New Roman" w:hAnsi="Times New Roman" w:eastAsia="楷体_GB2312"/>
          <w:sz w:val="24"/>
        </w:rPr>
        <w:t>【发起机构全称】。</w:t>
      </w:r>
    </w:p>
    <w:p w14:paraId="15F23A1A">
      <w:pPr>
        <w:numPr>
          <w:ilvl w:val="2"/>
          <w:numId w:val="6"/>
        </w:numPr>
        <w:spacing w:before="156" w:beforeLines="50" w:after="156" w:afterLines="50" w:line="360" w:lineRule="auto"/>
        <w:rPr>
          <w:rFonts w:ascii="Times New Roman" w:hAnsi="Times New Roman" w:eastAsia="楷体_GB2312"/>
          <w:b/>
          <w:bCs/>
          <w:sz w:val="24"/>
        </w:rPr>
      </w:pPr>
      <w:r>
        <w:rPr>
          <w:rFonts w:ascii="Times New Roman" w:hAnsi="Times New Roman" w:eastAsia="楷体_GB2312"/>
          <w:b/>
          <w:bCs/>
          <w:sz w:val="24"/>
        </w:rPr>
        <w:t>受托人：</w:t>
      </w:r>
      <w:r>
        <w:rPr>
          <w:rFonts w:ascii="Times New Roman" w:hAnsi="Times New Roman" w:eastAsia="楷体_GB2312"/>
          <w:bCs/>
          <w:sz w:val="24"/>
        </w:rPr>
        <w:t>“信托”的“受托人”为【受托机构全称】。</w:t>
      </w:r>
    </w:p>
    <w:p w14:paraId="08ABB484">
      <w:pPr>
        <w:numPr>
          <w:ilvl w:val="2"/>
          <w:numId w:val="6"/>
        </w:numPr>
        <w:spacing w:before="156" w:beforeLines="50" w:after="156" w:afterLines="50" w:line="360" w:lineRule="auto"/>
        <w:rPr>
          <w:rFonts w:ascii="Times New Roman" w:hAnsi="Times New Roman" w:eastAsia="楷体_GB2312"/>
          <w:b/>
          <w:bCs/>
          <w:sz w:val="24"/>
        </w:rPr>
      </w:pPr>
      <w:r>
        <w:rPr>
          <w:rFonts w:ascii="Times New Roman" w:hAnsi="Times New Roman" w:eastAsia="楷体_GB2312"/>
          <w:b/>
          <w:bCs/>
          <w:sz w:val="24"/>
        </w:rPr>
        <w:t>受益人：</w:t>
      </w:r>
      <w:r>
        <w:rPr>
          <w:rFonts w:ascii="Times New Roman" w:hAnsi="Times New Roman" w:eastAsia="楷体_GB2312"/>
          <w:bCs/>
          <w:sz w:val="24"/>
        </w:rPr>
        <w:t>“信托”的“受益人”即</w:t>
      </w:r>
      <w:r>
        <w:rPr>
          <w:rFonts w:ascii="Times New Roman" w:hAnsi="Times New Roman" w:eastAsia="楷体_GB2312"/>
          <w:sz w:val="24"/>
        </w:rPr>
        <w:t>“</w:t>
      </w:r>
      <w:r>
        <w:rPr>
          <w:rFonts w:ascii="Times New Roman" w:hAnsi="Times New Roman" w:eastAsia="楷体_GB2312"/>
          <w:bCs/>
          <w:sz w:val="24"/>
        </w:rPr>
        <w:t>资产支持证券持有人</w:t>
      </w:r>
      <w:r>
        <w:rPr>
          <w:rFonts w:ascii="Times New Roman" w:hAnsi="Times New Roman" w:eastAsia="楷体_GB2312"/>
          <w:sz w:val="24"/>
        </w:rPr>
        <w:t>”</w:t>
      </w:r>
      <w:r>
        <w:rPr>
          <w:rFonts w:ascii="Times New Roman" w:hAnsi="Times New Roman" w:eastAsia="楷体_GB2312"/>
          <w:bCs/>
          <w:sz w:val="24"/>
        </w:rPr>
        <w:t>。</w:t>
      </w:r>
      <w:r>
        <w:rPr>
          <w:rFonts w:ascii="Times New Roman" w:hAnsi="Times New Roman" w:eastAsia="楷体_GB2312"/>
          <w:sz w:val="24"/>
        </w:rPr>
        <w:t>“</w:t>
      </w:r>
      <w:r>
        <w:rPr>
          <w:rFonts w:ascii="Times New Roman" w:hAnsi="Times New Roman" w:eastAsia="楷体_GB2312"/>
          <w:bCs/>
          <w:sz w:val="24"/>
        </w:rPr>
        <w:t>资产支持证券持有人</w:t>
      </w:r>
      <w:r>
        <w:rPr>
          <w:rFonts w:ascii="Times New Roman" w:hAnsi="Times New Roman" w:eastAsia="楷体_GB2312"/>
          <w:sz w:val="24"/>
        </w:rPr>
        <w:t>”</w:t>
      </w:r>
      <w:r>
        <w:rPr>
          <w:rFonts w:ascii="Times New Roman" w:hAnsi="Times New Roman" w:eastAsia="楷体_GB2312"/>
          <w:bCs/>
          <w:sz w:val="24"/>
        </w:rPr>
        <w:t>包括“优先级资产支持证券持有人”和“次级资产支持证券持有人”</w:t>
      </w:r>
      <w:r>
        <w:rPr>
          <w:rFonts w:ascii="Times New Roman" w:hAnsi="Times New Roman" w:eastAsia="楷体_GB2312"/>
          <w:sz w:val="24"/>
        </w:rPr>
        <w:t>。</w:t>
      </w:r>
    </w:p>
    <w:p w14:paraId="3E38E0DA">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信托类别</w:t>
      </w:r>
    </w:p>
    <w:p w14:paraId="2716EE2D">
      <w:pPr>
        <w:spacing w:before="156" w:beforeLines="50" w:after="156" w:afterLines="50" w:line="360" w:lineRule="auto"/>
        <w:ind w:left="840" w:firstLine="57" w:firstLineChars="24"/>
        <w:rPr>
          <w:rFonts w:ascii="Times New Roman" w:hAnsi="Times New Roman" w:eastAsia="楷体_GB2312"/>
          <w:sz w:val="24"/>
        </w:rPr>
      </w:pPr>
      <w:r>
        <w:rPr>
          <w:rFonts w:ascii="Times New Roman" w:hAnsi="Times New Roman" w:eastAsia="楷体_GB2312"/>
          <w:sz w:val="24"/>
        </w:rPr>
        <w:t>“信托”的类别为：资产证券化服务信托。</w:t>
      </w:r>
    </w:p>
    <w:p w14:paraId="35BC0C2A">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信托业务品种</w:t>
      </w:r>
    </w:p>
    <w:p w14:paraId="0A2B7C9B">
      <w:pPr>
        <w:spacing w:before="156" w:beforeLines="50" w:after="156" w:afterLines="50" w:line="360" w:lineRule="auto"/>
        <w:ind w:left="840" w:firstLine="57" w:firstLineChars="24"/>
        <w:rPr>
          <w:rFonts w:ascii="Times New Roman" w:hAnsi="Times New Roman" w:eastAsia="楷体_GB2312"/>
          <w:sz w:val="24"/>
        </w:rPr>
      </w:pPr>
      <w:r>
        <w:rPr>
          <w:rFonts w:ascii="Times New Roman" w:hAnsi="Times New Roman" w:eastAsia="楷体_GB2312"/>
          <w:sz w:val="24"/>
        </w:rPr>
        <w:t>“信托”的业务品种为：信贷资产证券化服务信托。</w:t>
      </w:r>
    </w:p>
    <w:p w14:paraId="4157F583">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bookmarkStart w:id="25" w:name="_Toc111281768"/>
      <w:bookmarkStart w:id="26" w:name="_Toc110153416"/>
      <w:bookmarkStart w:id="27" w:name="_Toc92612905"/>
      <w:bookmarkStart w:id="28" w:name="_Toc201569377"/>
      <w:r>
        <w:rPr>
          <w:rFonts w:ascii="Times New Roman" w:hAnsi="Times New Roman" w:eastAsia="楷体_GB2312"/>
          <w:b/>
          <w:sz w:val="24"/>
        </w:rPr>
        <w:t>信托声明</w:t>
      </w:r>
      <w:bookmarkEnd w:id="25"/>
      <w:bookmarkEnd w:id="26"/>
      <w:bookmarkEnd w:id="27"/>
      <w:bookmarkEnd w:id="28"/>
    </w:p>
    <w:p w14:paraId="66728D10">
      <w:pPr>
        <w:tabs>
          <w:tab w:val="left" w:pos="1571"/>
        </w:tabs>
        <w:spacing w:before="156" w:beforeLines="50" w:after="156" w:afterLines="50" w:line="360" w:lineRule="auto"/>
        <w:ind w:left="851"/>
        <w:rPr>
          <w:rFonts w:ascii="Times New Roman" w:hAnsi="Times New Roman" w:eastAsia="楷体_GB2312"/>
          <w:bCs/>
          <w:sz w:val="24"/>
        </w:rPr>
      </w:pPr>
      <w:r>
        <w:rPr>
          <w:rFonts w:ascii="Times New Roman" w:hAnsi="Times New Roman" w:eastAsia="楷体_GB2312"/>
          <w:sz w:val="24"/>
        </w:rPr>
        <w:t>“</w:t>
      </w:r>
      <w:r>
        <w:rPr>
          <w:rFonts w:ascii="Times New Roman" w:hAnsi="Times New Roman" w:eastAsia="楷体_GB2312"/>
          <w:bCs/>
          <w:sz w:val="24"/>
        </w:rPr>
        <w:t>委托人</w:t>
      </w:r>
      <w:r>
        <w:rPr>
          <w:rFonts w:ascii="Times New Roman" w:hAnsi="Times New Roman" w:eastAsia="楷体_GB2312"/>
          <w:sz w:val="24"/>
        </w:rPr>
        <w:t>”</w:t>
      </w:r>
      <w:r>
        <w:rPr>
          <w:rFonts w:ascii="Times New Roman" w:hAnsi="Times New Roman" w:eastAsia="楷体_GB2312"/>
          <w:bCs/>
          <w:sz w:val="24"/>
        </w:rPr>
        <w:t>自愿按照本合同的约定将</w:t>
      </w:r>
      <w:r>
        <w:rPr>
          <w:rFonts w:ascii="Times New Roman" w:hAnsi="Times New Roman" w:eastAsia="楷体_GB2312"/>
          <w:sz w:val="24"/>
        </w:rPr>
        <w:t>初始“资产”作为“信托财产”</w:t>
      </w:r>
      <w:r>
        <w:rPr>
          <w:rFonts w:ascii="Times New Roman" w:hAnsi="Times New Roman" w:eastAsia="楷体_GB2312"/>
          <w:bCs/>
          <w:sz w:val="24"/>
        </w:rPr>
        <w:t>委托给</w:t>
      </w:r>
      <w:r>
        <w:rPr>
          <w:rFonts w:ascii="Times New Roman" w:hAnsi="Times New Roman" w:eastAsia="楷体_GB2312"/>
          <w:sz w:val="24"/>
        </w:rPr>
        <w:t>“</w:t>
      </w:r>
      <w:r>
        <w:rPr>
          <w:rFonts w:ascii="Times New Roman" w:hAnsi="Times New Roman" w:eastAsia="楷体_GB2312"/>
          <w:bCs/>
          <w:sz w:val="24"/>
        </w:rPr>
        <w:t>受托人</w:t>
      </w:r>
      <w:r>
        <w:rPr>
          <w:rFonts w:ascii="Times New Roman" w:hAnsi="Times New Roman" w:eastAsia="楷体_GB2312"/>
          <w:sz w:val="24"/>
        </w:rPr>
        <w:t>”</w:t>
      </w:r>
      <w:r>
        <w:rPr>
          <w:rFonts w:ascii="Times New Roman" w:hAnsi="Times New Roman" w:eastAsia="楷体_GB2312"/>
          <w:bCs/>
          <w:sz w:val="24"/>
        </w:rPr>
        <w:t>设立</w:t>
      </w:r>
      <w:r>
        <w:rPr>
          <w:rFonts w:ascii="Times New Roman" w:hAnsi="Times New Roman" w:eastAsia="楷体_GB2312"/>
          <w:sz w:val="24"/>
        </w:rPr>
        <w:t>“</w:t>
      </w:r>
      <w:r>
        <w:rPr>
          <w:rFonts w:ascii="Times New Roman" w:hAnsi="Times New Roman" w:eastAsia="楷体_GB2312"/>
          <w:bCs/>
          <w:sz w:val="24"/>
        </w:rPr>
        <w:t>信托</w:t>
      </w:r>
      <w:r>
        <w:rPr>
          <w:rFonts w:ascii="Times New Roman" w:hAnsi="Times New Roman" w:eastAsia="楷体_GB2312"/>
          <w:sz w:val="24"/>
        </w:rPr>
        <w:t>”；“</w:t>
      </w:r>
      <w:r>
        <w:rPr>
          <w:rFonts w:ascii="Times New Roman" w:hAnsi="Times New Roman" w:eastAsia="楷体_GB2312"/>
          <w:bCs/>
          <w:sz w:val="24"/>
        </w:rPr>
        <w:t>受托人</w:t>
      </w:r>
      <w:r>
        <w:rPr>
          <w:rFonts w:ascii="Times New Roman" w:hAnsi="Times New Roman" w:eastAsia="楷体_GB2312"/>
          <w:sz w:val="24"/>
        </w:rPr>
        <w:t>”</w:t>
      </w:r>
      <w:r>
        <w:rPr>
          <w:rFonts w:ascii="Times New Roman" w:hAnsi="Times New Roman" w:eastAsia="楷体_GB2312"/>
          <w:bCs/>
          <w:sz w:val="24"/>
        </w:rPr>
        <w:t>同意接受</w:t>
      </w:r>
      <w:r>
        <w:rPr>
          <w:rFonts w:ascii="Times New Roman" w:hAnsi="Times New Roman" w:eastAsia="楷体_GB2312"/>
          <w:sz w:val="24"/>
        </w:rPr>
        <w:t>“</w:t>
      </w:r>
      <w:r>
        <w:rPr>
          <w:rFonts w:ascii="Times New Roman" w:hAnsi="Times New Roman" w:eastAsia="楷体_GB2312"/>
          <w:bCs/>
          <w:sz w:val="24"/>
        </w:rPr>
        <w:t>委托人</w:t>
      </w:r>
      <w:r>
        <w:rPr>
          <w:rFonts w:ascii="Times New Roman" w:hAnsi="Times New Roman" w:eastAsia="楷体_GB2312"/>
          <w:sz w:val="24"/>
        </w:rPr>
        <w:t>”的委托</w:t>
      </w:r>
      <w:r>
        <w:rPr>
          <w:rFonts w:ascii="Times New Roman" w:hAnsi="Times New Roman" w:eastAsia="楷体_GB2312"/>
          <w:bCs/>
          <w:sz w:val="24"/>
        </w:rPr>
        <w:t>，并按本合同的约定以自己的名义管理、运用、处分</w:t>
      </w:r>
      <w:r>
        <w:rPr>
          <w:rFonts w:ascii="Times New Roman" w:hAnsi="Times New Roman" w:eastAsia="楷体_GB2312"/>
          <w:sz w:val="24"/>
        </w:rPr>
        <w:t>“</w:t>
      </w:r>
      <w:r>
        <w:rPr>
          <w:rFonts w:ascii="Times New Roman" w:hAnsi="Times New Roman" w:eastAsia="楷体_GB2312"/>
          <w:bCs/>
          <w:sz w:val="24"/>
        </w:rPr>
        <w:t>信托财产</w:t>
      </w:r>
      <w:r>
        <w:rPr>
          <w:rFonts w:ascii="Times New Roman" w:hAnsi="Times New Roman" w:eastAsia="楷体_GB2312"/>
          <w:sz w:val="24"/>
        </w:rPr>
        <w:t>”</w:t>
      </w:r>
      <w:r>
        <w:rPr>
          <w:rFonts w:ascii="Times New Roman" w:hAnsi="Times New Roman" w:eastAsia="楷体_GB2312"/>
          <w:bCs/>
          <w:sz w:val="24"/>
        </w:rPr>
        <w:t>。</w:t>
      </w:r>
    </w:p>
    <w:p w14:paraId="539A7CEC">
      <w:pPr>
        <w:numPr>
          <w:ilvl w:val="1"/>
          <w:numId w:val="6"/>
        </w:numPr>
        <w:tabs>
          <w:tab w:val="left" w:pos="900"/>
        </w:tabs>
        <w:spacing w:before="156" w:beforeLines="50" w:after="156" w:afterLines="50" w:line="360" w:lineRule="auto"/>
        <w:outlineLvl w:val="1"/>
        <w:rPr>
          <w:rFonts w:ascii="Times New Roman" w:hAnsi="Times New Roman" w:eastAsia="楷体_GB2312"/>
          <w:b/>
          <w:bCs/>
          <w:sz w:val="24"/>
        </w:rPr>
      </w:pPr>
      <w:bookmarkStart w:id="29" w:name="_Toc110370633"/>
      <w:bookmarkEnd w:id="29"/>
      <w:bookmarkStart w:id="30" w:name="_Toc110153418"/>
      <w:bookmarkEnd w:id="30"/>
      <w:bookmarkStart w:id="31" w:name="_Toc110370835"/>
      <w:bookmarkEnd w:id="31"/>
      <w:bookmarkStart w:id="32" w:name="_Toc110370632"/>
      <w:bookmarkEnd w:id="32"/>
      <w:bookmarkStart w:id="33" w:name="_Toc110153417"/>
      <w:bookmarkEnd w:id="33"/>
      <w:bookmarkStart w:id="34" w:name="_Toc110370834"/>
      <w:bookmarkEnd w:id="34"/>
      <w:bookmarkStart w:id="35" w:name="_Ref335838472"/>
      <w:bookmarkStart w:id="36" w:name="_Toc110153419"/>
      <w:bookmarkStart w:id="37" w:name="_Ref148383501"/>
      <w:bookmarkStart w:id="38" w:name="_Ref111021949"/>
      <w:bookmarkStart w:id="39" w:name="_Ref110392648"/>
      <w:bookmarkStart w:id="40" w:name="_Ref110334703"/>
      <w:bookmarkStart w:id="41" w:name="_Toc92612907"/>
      <w:bookmarkStart w:id="42" w:name="_Ref110337144"/>
      <w:bookmarkStart w:id="43" w:name="_Ref110336882"/>
      <w:bookmarkStart w:id="44" w:name="_Toc111281769"/>
      <w:bookmarkStart w:id="45" w:name="_Ref201577470"/>
      <w:r>
        <w:rPr>
          <w:rFonts w:ascii="Times New Roman" w:hAnsi="Times New Roman" w:eastAsia="楷体_GB2312"/>
          <w:b/>
          <w:bCs/>
          <w:sz w:val="24"/>
        </w:rPr>
        <w:t>初始资产的信托</w:t>
      </w:r>
      <w:bookmarkEnd w:id="35"/>
    </w:p>
    <w:p w14:paraId="68B748F7">
      <w:pPr>
        <w:numPr>
          <w:ilvl w:val="2"/>
          <w:numId w:val="6"/>
        </w:numPr>
        <w:tabs>
          <w:tab w:val="left" w:pos="1418"/>
        </w:tabs>
        <w:spacing w:before="156" w:beforeLines="50" w:after="156" w:afterLines="50" w:line="360" w:lineRule="auto"/>
        <w:rPr>
          <w:rFonts w:ascii="Times New Roman" w:hAnsi="Times New Roman" w:eastAsia="楷体_GB2312"/>
          <w:b/>
          <w:bCs/>
          <w:sz w:val="24"/>
        </w:rPr>
      </w:pPr>
      <w:bookmarkStart w:id="46" w:name="_Ref336003152"/>
      <w:r>
        <w:rPr>
          <w:rFonts w:ascii="Times New Roman" w:hAnsi="Times New Roman" w:eastAsia="楷体_GB2312"/>
          <w:bCs/>
          <w:sz w:val="24"/>
        </w:rPr>
        <w:t>自“信托设立日”起，“委托人”为“受益人”的利益，将自“初始起算日”起（含该日）“委托人”对于以下财产的（现时的和未来的、现实的和或有的）全部权利、权益、利益和收益，包括（</w:t>
      </w:r>
      <w:r>
        <w:rPr>
          <w:rFonts w:hint="eastAsia" w:ascii="Times New Roman" w:hAnsi="Times New Roman" w:eastAsia="楷体_GB2312"/>
          <w:bCs/>
          <w:sz w:val="24"/>
        </w:rPr>
        <w:t>a</w:t>
      </w:r>
      <w:r>
        <w:rPr>
          <w:rFonts w:ascii="Times New Roman" w:hAnsi="Times New Roman" w:eastAsia="楷体_GB2312"/>
          <w:bCs/>
          <w:sz w:val="24"/>
        </w:rPr>
        <w:t>）以下财产项下到期或将到期的全部款项，（</w:t>
      </w:r>
      <w:r>
        <w:rPr>
          <w:rFonts w:hint="eastAsia" w:ascii="Times New Roman" w:hAnsi="Times New Roman" w:eastAsia="楷体_GB2312"/>
          <w:bCs/>
          <w:sz w:val="24"/>
        </w:rPr>
        <w:t>b</w:t>
      </w:r>
      <w:r>
        <w:rPr>
          <w:rFonts w:ascii="Times New Roman" w:hAnsi="Times New Roman" w:eastAsia="楷体_GB2312"/>
          <w:bCs/>
          <w:sz w:val="24"/>
        </w:rPr>
        <w:t>）以下财产被转让、被出售、被拍卖、被变卖或者被以其他方式处置所获得的全部款项，（</w:t>
      </w:r>
      <w:r>
        <w:rPr>
          <w:rFonts w:hint="eastAsia" w:ascii="Times New Roman" w:hAnsi="Times New Roman" w:eastAsia="楷体_GB2312"/>
          <w:bCs/>
          <w:sz w:val="24"/>
        </w:rPr>
        <w:t>c</w:t>
      </w:r>
      <w:r>
        <w:rPr>
          <w:rFonts w:ascii="Times New Roman" w:hAnsi="Times New Roman" w:eastAsia="楷体_GB2312"/>
          <w:bCs/>
          <w:sz w:val="24"/>
        </w:rPr>
        <w:t>）请求、起诉、收回、接受以下财产项下的全部应偿付款项（不论其是否应由“借款人”偿付）的权利，（</w:t>
      </w:r>
      <w:r>
        <w:rPr>
          <w:rFonts w:hint="eastAsia" w:ascii="Times New Roman" w:hAnsi="Times New Roman" w:eastAsia="楷体_GB2312"/>
          <w:bCs/>
          <w:sz w:val="24"/>
        </w:rPr>
        <w:t>d</w:t>
      </w:r>
      <w:r>
        <w:rPr>
          <w:rFonts w:ascii="Times New Roman" w:hAnsi="Times New Roman" w:eastAsia="楷体_GB2312"/>
          <w:bCs/>
          <w:sz w:val="24"/>
        </w:rPr>
        <w:t>）强制执行以下财产的全部权利和法律救济，均信托予“受托人”：</w:t>
      </w:r>
      <w:bookmarkEnd w:id="46"/>
    </w:p>
    <w:p w14:paraId="5A7726C3">
      <w:pPr>
        <w:numPr>
          <w:ilvl w:val="0"/>
          <w:numId w:val="7"/>
        </w:numPr>
        <w:spacing w:before="156" w:beforeLines="50" w:after="156" w:afterLines="50" w:line="360" w:lineRule="auto"/>
        <w:ind w:left="1843"/>
        <w:rPr>
          <w:rFonts w:ascii="Times New Roman" w:hAnsi="Times New Roman" w:eastAsia="楷体_GB2312"/>
          <w:sz w:val="24"/>
        </w:rPr>
      </w:pPr>
      <w:r>
        <w:rPr>
          <w:rFonts w:ascii="Times New Roman" w:hAnsi="Times New Roman" w:eastAsia="楷体_GB2312"/>
          <w:sz w:val="24"/>
        </w:rPr>
        <w:t>“资产清单”</w:t>
      </w:r>
      <w:r>
        <w:rPr>
          <w:rStyle w:val="79"/>
          <w:rFonts w:ascii="Times New Roman" w:hAnsi="Times New Roman" w:eastAsia="楷体_GB2312"/>
          <w:color w:val="auto"/>
          <w:w w:val="0"/>
          <w:sz w:val="24"/>
          <w:u w:val="none"/>
        </w:rPr>
        <w:t>（格式见本合同</w:t>
      </w:r>
      <w:r>
        <w:rPr>
          <w:rStyle w:val="79"/>
          <w:rFonts w:ascii="Times New Roman" w:hAnsi="Times New Roman" w:eastAsia="楷体_GB2312"/>
          <w:b/>
          <w:i/>
          <w:color w:val="auto"/>
          <w:w w:val="0"/>
          <w:sz w:val="24"/>
          <w:u w:val="none"/>
        </w:rPr>
        <w:t>附件一</w:t>
      </w:r>
      <w:r>
        <w:rPr>
          <w:rStyle w:val="79"/>
          <w:rFonts w:ascii="Times New Roman" w:hAnsi="Times New Roman" w:eastAsia="楷体_GB2312"/>
          <w:color w:val="auto"/>
          <w:w w:val="0"/>
          <w:sz w:val="24"/>
          <w:u w:val="none"/>
        </w:rPr>
        <w:t>）</w:t>
      </w:r>
      <w:r>
        <w:rPr>
          <w:rFonts w:ascii="Times New Roman" w:hAnsi="Times New Roman" w:eastAsia="楷体_GB2312"/>
          <w:sz w:val="24"/>
        </w:rPr>
        <w:t>中所列的在“初始起算日”存在的全部“贷款”；以及</w:t>
      </w:r>
    </w:p>
    <w:p w14:paraId="2816EA6C">
      <w:pPr>
        <w:numPr>
          <w:ilvl w:val="0"/>
          <w:numId w:val="7"/>
        </w:numPr>
        <w:spacing w:before="156" w:beforeLines="50" w:after="156" w:afterLines="50" w:line="360" w:lineRule="auto"/>
        <w:ind w:left="1843"/>
        <w:rPr>
          <w:rFonts w:ascii="Times New Roman" w:hAnsi="Times New Roman" w:eastAsia="楷体_GB2312"/>
          <w:sz w:val="24"/>
        </w:rPr>
      </w:pPr>
      <w:r>
        <w:rPr>
          <w:rFonts w:ascii="Times New Roman" w:hAnsi="Times New Roman" w:eastAsia="楷体_GB2312"/>
          <w:bCs/>
          <w:sz w:val="24"/>
        </w:rPr>
        <w:t>自“初始起算日”（含该日）至“信托设立日”（不含该日）期间“贷款”已实际产生的“回收款”；</w:t>
      </w:r>
    </w:p>
    <w:p w14:paraId="122BF413">
      <w:pPr>
        <w:numPr>
          <w:ilvl w:val="0"/>
          <w:numId w:val="7"/>
        </w:numPr>
        <w:spacing w:before="156" w:beforeLines="50" w:after="156" w:afterLines="50" w:line="360" w:lineRule="auto"/>
        <w:ind w:left="1843"/>
        <w:rPr>
          <w:rFonts w:ascii="Times New Roman" w:hAnsi="Times New Roman" w:eastAsia="楷体_GB2312"/>
          <w:sz w:val="24"/>
        </w:rPr>
      </w:pPr>
      <w:r>
        <w:rPr>
          <w:rFonts w:ascii="Times New Roman" w:hAnsi="Times New Roman" w:eastAsia="楷体_GB2312"/>
          <w:sz w:val="24"/>
        </w:rPr>
        <w:t>上述“贷款”的全部“附属权益”（如有）。</w:t>
      </w:r>
    </w:p>
    <w:p w14:paraId="3B3F3147">
      <w:pPr>
        <w:spacing w:before="156" w:beforeLines="50" w:after="156" w:afterLines="50" w:line="360" w:lineRule="auto"/>
        <w:ind w:left="1418"/>
        <w:rPr>
          <w:rFonts w:ascii="Times New Roman" w:hAnsi="Times New Roman" w:eastAsia="楷体_GB2312"/>
          <w:sz w:val="24"/>
        </w:rPr>
      </w:pPr>
      <w:r>
        <w:rPr>
          <w:rFonts w:ascii="Times New Roman" w:hAnsi="Times New Roman" w:eastAsia="楷体_GB2312"/>
          <w:sz w:val="24"/>
        </w:rPr>
        <w:t>“受托人”接受信托，并同意根据本合同、“中国”“法律”的规定履行其职责和义务。</w:t>
      </w:r>
    </w:p>
    <w:p w14:paraId="0252495D">
      <w:pPr>
        <w:numPr>
          <w:ilvl w:val="2"/>
          <w:numId w:val="6"/>
        </w:numPr>
        <w:tabs>
          <w:tab w:val="left" w:pos="1418"/>
        </w:tabs>
        <w:spacing w:before="156" w:beforeLines="50" w:after="156" w:afterLines="50" w:line="360" w:lineRule="auto"/>
        <w:rPr>
          <w:rFonts w:ascii="Times New Roman" w:hAnsi="Times New Roman" w:eastAsia="楷体_GB2312"/>
          <w:sz w:val="24"/>
        </w:rPr>
      </w:pPr>
      <w:bookmarkStart w:id="47" w:name="_Ref396744645"/>
      <w:r>
        <w:rPr>
          <w:rFonts w:ascii="Times New Roman" w:hAnsi="Times New Roman" w:eastAsia="楷体_GB2312"/>
          <w:bCs/>
          <w:sz w:val="24"/>
        </w:rPr>
        <w:t>在上述第</w:t>
      </w:r>
      <w:r>
        <w:rPr>
          <w:rFonts w:ascii="Times New Roman" w:hAnsi="Times New Roman" w:eastAsia="楷体_GB2312"/>
          <w:bCs/>
          <w:sz w:val="24"/>
        </w:rPr>
        <w:fldChar w:fldCharType="begin"/>
      </w:r>
      <w:r>
        <w:rPr>
          <w:rFonts w:ascii="Times New Roman" w:hAnsi="Times New Roman" w:eastAsia="楷体_GB2312"/>
          <w:bCs/>
          <w:sz w:val="24"/>
        </w:rPr>
        <w:instrText xml:space="preserve"> REF _Ref336003152 \r \h  \* MERGEFORMAT </w:instrText>
      </w:r>
      <w:r>
        <w:rPr>
          <w:rFonts w:ascii="Times New Roman" w:hAnsi="Times New Roman" w:eastAsia="楷体_GB2312"/>
          <w:bCs/>
          <w:sz w:val="24"/>
        </w:rPr>
        <w:fldChar w:fldCharType="separate"/>
      </w:r>
      <w:r>
        <w:rPr>
          <w:rFonts w:ascii="Times New Roman" w:hAnsi="Times New Roman" w:eastAsia="楷体_GB2312"/>
          <w:bCs/>
          <w:sz w:val="24"/>
        </w:rPr>
        <w:t>3.6.1</w:t>
      </w:r>
      <w:r>
        <w:rPr>
          <w:rFonts w:ascii="Times New Roman" w:hAnsi="Times New Roman" w:eastAsia="楷体_GB2312"/>
          <w:bCs/>
          <w:sz w:val="24"/>
        </w:rPr>
        <w:fldChar w:fldCharType="end"/>
      </w:r>
      <w:r>
        <w:rPr>
          <w:rFonts w:ascii="Times New Roman" w:hAnsi="Times New Roman" w:eastAsia="楷体_GB2312"/>
          <w:bCs/>
          <w:sz w:val="24"/>
        </w:rPr>
        <w:t>款的基础上，“委托人”应为“受益人”的利益，向“受托人”转让其对于相关“账户记录”的（现时的和未来的、实际的和或有的）相关权益；</w:t>
      </w:r>
      <w:r>
        <w:rPr>
          <w:rFonts w:ascii="Times New Roman" w:hAnsi="Times New Roman" w:eastAsia="楷体_GB2312"/>
          <w:sz w:val="24"/>
        </w:rPr>
        <w:t>自“信托财产交付日”起，初始“资产”专属的全部“账户记录”原件属于“受托人”所有；但初始“资产”与其他债权共用的“账户记录”由“受托人”与“委托人”共有，由“委托人”负责保管原件，未经“受托人”同意，“委托人”不得处分该等“账户记录”，且“受托人”有权为行使或主张初始“资产”相关权利、权益或履行“交易文件”约定的“受托人”其他相关权利或义务的目的而使用该等“账户记录”。</w:t>
      </w:r>
      <w:bookmarkEnd w:id="47"/>
    </w:p>
    <w:p w14:paraId="29D51CB9">
      <w:pPr>
        <w:numPr>
          <w:ilvl w:val="2"/>
          <w:numId w:val="6"/>
        </w:numPr>
        <w:tabs>
          <w:tab w:val="left" w:pos="1418"/>
        </w:tabs>
        <w:spacing w:before="156" w:beforeLines="50" w:after="156" w:afterLines="50" w:line="360" w:lineRule="auto"/>
        <w:rPr>
          <w:rFonts w:ascii="Times New Roman" w:hAnsi="Times New Roman" w:eastAsia="楷体_GB2312"/>
          <w:sz w:val="24"/>
        </w:rPr>
      </w:pPr>
      <w:r>
        <w:rPr>
          <w:rFonts w:ascii="Times New Roman" w:hAnsi="Times New Roman" w:eastAsia="楷体_GB2312"/>
          <w:bCs/>
          <w:sz w:val="24"/>
        </w:rPr>
        <w:t>自“信托设立日”起，</w:t>
      </w:r>
      <w:r>
        <w:rPr>
          <w:rFonts w:ascii="Times New Roman" w:hAnsi="Times New Roman" w:eastAsia="楷体_GB2312"/>
          <w:sz w:val="24"/>
        </w:rPr>
        <w:t>初始“资产”即成为“信托财产”，“委托人”除根据本合同第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_Ref201647086 \r \h  \* MERGEFORMAT </w:instrText>
      </w:r>
      <w:r>
        <w:rPr>
          <w:rFonts w:ascii="Times New Roman" w:hAnsi="Times New Roman" w:eastAsia="楷体_GB2312"/>
          <w:sz w:val="24"/>
        </w:rPr>
        <w:fldChar w:fldCharType="separate"/>
      </w:r>
      <w:r>
        <w:rPr>
          <w:rFonts w:ascii="Times New Roman" w:hAnsi="Times New Roman" w:eastAsia="楷体_GB2312"/>
          <w:sz w:val="24"/>
        </w:rPr>
        <w:t>4</w:t>
      </w:r>
      <w:r>
        <w:rPr>
          <w:rFonts w:ascii="Times New Roman" w:hAnsi="Times New Roman" w:eastAsia="楷体_GB2312"/>
          <w:sz w:val="24"/>
        </w:rPr>
        <w:fldChar w:fldCharType="end"/>
      </w:r>
      <w:r>
        <w:rPr>
          <w:rFonts w:ascii="Times New Roman" w:hAnsi="Times New Roman" w:eastAsia="楷体_GB2312"/>
          <w:sz w:val="24"/>
        </w:rPr>
        <w:t>条“赎回”“不合格资产”或根据本合同第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_Ref340400360 \r \h  \* MERGEFORMAT </w:instrText>
      </w:r>
      <w:r>
        <w:rPr>
          <w:rFonts w:ascii="Times New Roman" w:hAnsi="Times New Roman" w:eastAsia="楷体_GB2312"/>
          <w:sz w:val="24"/>
        </w:rPr>
        <w:fldChar w:fldCharType="separate"/>
      </w:r>
      <w:r>
        <w:rPr>
          <w:rFonts w:ascii="Times New Roman" w:hAnsi="Times New Roman" w:eastAsia="楷体_GB2312"/>
          <w:sz w:val="24"/>
        </w:rPr>
        <w:t>13</w:t>
      </w:r>
      <w:r>
        <w:rPr>
          <w:rFonts w:ascii="Times New Roman" w:hAnsi="Times New Roman" w:eastAsia="楷体_GB2312"/>
          <w:sz w:val="24"/>
        </w:rPr>
        <w:fldChar w:fldCharType="end"/>
      </w:r>
      <w:r>
        <w:rPr>
          <w:rFonts w:ascii="Times New Roman" w:hAnsi="Times New Roman" w:eastAsia="楷体_GB2312"/>
          <w:sz w:val="24"/>
        </w:rPr>
        <w:t>条进行“清仓回购”外，对该等初始“资产”不再享有任何权利也不再承担任何风险。</w:t>
      </w:r>
    </w:p>
    <w:p w14:paraId="6FBBB7ED">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信托财产</w:t>
      </w:r>
      <w:bookmarkEnd w:id="36"/>
      <w:bookmarkEnd w:id="37"/>
      <w:bookmarkEnd w:id="38"/>
      <w:bookmarkEnd w:id="39"/>
      <w:bookmarkEnd w:id="40"/>
      <w:bookmarkEnd w:id="41"/>
      <w:bookmarkEnd w:id="42"/>
      <w:bookmarkEnd w:id="43"/>
      <w:bookmarkEnd w:id="44"/>
    </w:p>
    <w:p w14:paraId="0F8C0453">
      <w:pPr>
        <w:numPr>
          <w:ilvl w:val="2"/>
          <w:numId w:val="6"/>
        </w:numPr>
        <w:tabs>
          <w:tab w:val="left" w:pos="1620"/>
        </w:tabs>
        <w:spacing w:before="156" w:beforeLines="50" w:after="156" w:afterLines="50" w:line="360" w:lineRule="auto"/>
        <w:ind w:left="1620" w:hanging="769"/>
        <w:rPr>
          <w:rFonts w:ascii="Times New Roman" w:hAnsi="Times New Roman" w:eastAsia="楷体_GB2312"/>
          <w:b/>
          <w:sz w:val="24"/>
        </w:rPr>
      </w:pPr>
      <w:r>
        <w:rPr>
          <w:rFonts w:ascii="Times New Roman" w:hAnsi="Times New Roman" w:eastAsia="楷体_GB2312"/>
          <w:b/>
          <w:sz w:val="24"/>
        </w:rPr>
        <w:t>信托财产的范围</w:t>
      </w:r>
    </w:p>
    <w:p w14:paraId="098E9622">
      <w:pPr>
        <w:spacing w:before="156" w:beforeLines="50" w:after="156" w:afterLines="50" w:line="360" w:lineRule="auto"/>
        <w:ind w:left="1620"/>
        <w:rPr>
          <w:rFonts w:ascii="Times New Roman" w:hAnsi="Times New Roman" w:eastAsia="楷体_GB2312"/>
          <w:sz w:val="24"/>
        </w:rPr>
      </w:pPr>
      <w:r>
        <w:rPr>
          <w:rFonts w:ascii="Times New Roman" w:hAnsi="Times New Roman" w:eastAsia="楷体_GB2312"/>
          <w:sz w:val="24"/>
        </w:rPr>
        <w:t>“信托”的“信托财产”的范围包括：</w:t>
      </w:r>
    </w:p>
    <w:p w14:paraId="3E224FBF">
      <w:pPr>
        <w:numPr>
          <w:ilvl w:val="0"/>
          <w:numId w:val="8"/>
        </w:numPr>
        <w:spacing w:before="156" w:beforeLines="50" w:after="156" w:afterLines="50" w:line="360" w:lineRule="auto"/>
        <w:ind w:left="2127"/>
        <w:rPr>
          <w:rStyle w:val="79"/>
          <w:rFonts w:ascii="Times New Roman" w:hAnsi="Times New Roman" w:eastAsia="楷体_GB2312"/>
          <w:color w:val="auto"/>
          <w:w w:val="0"/>
          <w:sz w:val="24"/>
          <w:u w:val="none"/>
        </w:rPr>
      </w:pPr>
      <w:bookmarkStart w:id="48" w:name="_DV_C215"/>
      <w:r>
        <w:rPr>
          <w:rStyle w:val="79"/>
          <w:rFonts w:ascii="Times New Roman" w:hAnsi="Times New Roman" w:eastAsia="楷体_GB2312"/>
          <w:color w:val="auto"/>
          <w:w w:val="0"/>
          <w:sz w:val="24"/>
          <w:u w:val="none"/>
        </w:rPr>
        <w:t>“资产清单”（格式见本合同</w:t>
      </w:r>
      <w:r>
        <w:rPr>
          <w:rStyle w:val="79"/>
          <w:rFonts w:hint="eastAsia" w:ascii="Times New Roman" w:hAnsi="Times New Roman" w:eastAsia="楷体_GB2312"/>
          <w:b/>
          <w:bCs/>
          <w:i/>
          <w:iCs/>
          <w:color w:val="auto"/>
          <w:w w:val="0"/>
          <w:sz w:val="24"/>
          <w:u w:val="none"/>
        </w:rPr>
        <w:t>附件一）</w:t>
      </w:r>
      <w:r>
        <w:rPr>
          <w:rStyle w:val="79"/>
          <w:rFonts w:ascii="Times New Roman" w:hAnsi="Times New Roman" w:eastAsia="楷体_GB2312"/>
          <w:color w:val="auto"/>
          <w:w w:val="0"/>
          <w:sz w:val="24"/>
          <w:u w:val="none"/>
        </w:rPr>
        <w:t>中所列的在“初始起算日”（适用于初始“资产”）/“持续购买基准日”（适用于新增“资产”）存在的全部“贷款”以及上述“贷款”的全部“附属权益”（如有）（“资产”）；</w:t>
      </w:r>
    </w:p>
    <w:p w14:paraId="455A3179">
      <w:pPr>
        <w:numPr>
          <w:ilvl w:val="0"/>
          <w:numId w:val="8"/>
        </w:numPr>
        <w:spacing w:before="156" w:beforeLines="50" w:after="156" w:afterLines="50" w:line="360" w:lineRule="auto"/>
        <w:ind w:left="2127"/>
        <w:rPr>
          <w:rFonts w:ascii="Times New Roman" w:hAnsi="Times New Roman" w:eastAsia="楷体_GB2312"/>
          <w:w w:val="0"/>
          <w:sz w:val="24"/>
        </w:rPr>
      </w:pPr>
      <w:r>
        <w:rPr>
          <w:rFonts w:ascii="Times New Roman" w:hAnsi="Times New Roman" w:eastAsia="楷体_GB2312"/>
          <w:sz w:val="24"/>
        </w:rPr>
        <w:t>自“初始起算日”（适用于初始“资产”，下同）/“持续购买基准日”（适用于新增“资产”，下同）起，“资产”所实际回收的全部资金，包括“本金回收款”、“收入回收款”；</w:t>
      </w:r>
    </w:p>
    <w:p w14:paraId="3028B5B1">
      <w:pPr>
        <w:numPr>
          <w:ilvl w:val="0"/>
          <w:numId w:val="8"/>
        </w:numPr>
        <w:spacing w:before="156" w:beforeLines="50" w:after="156" w:afterLines="50" w:line="360" w:lineRule="auto"/>
        <w:ind w:left="2127"/>
        <w:rPr>
          <w:rFonts w:ascii="Times New Roman" w:hAnsi="Times New Roman" w:eastAsia="楷体_GB2312"/>
          <w:w w:val="0"/>
          <w:sz w:val="24"/>
        </w:rPr>
      </w:pPr>
      <w:r>
        <w:rPr>
          <w:rFonts w:ascii="Times New Roman" w:hAnsi="Times New Roman" w:eastAsia="楷体_GB2312"/>
          <w:sz w:val="24"/>
        </w:rPr>
        <w:t>管理、经营、处置和处分“资产”、</w:t>
      </w:r>
      <w:r>
        <w:rPr>
          <w:rFonts w:ascii="Times New Roman" w:hAnsi="Times New Roman" w:eastAsia="楷体_GB2312"/>
          <w:w w:val="0"/>
          <w:sz w:val="24"/>
        </w:rPr>
        <w:t>“回收款”</w:t>
      </w:r>
      <w:r>
        <w:rPr>
          <w:rFonts w:ascii="Times New Roman" w:hAnsi="Times New Roman" w:eastAsia="楷体_GB2312"/>
          <w:sz w:val="24"/>
        </w:rPr>
        <w:t>所获得的</w:t>
      </w:r>
      <w:r>
        <w:rPr>
          <w:rFonts w:hint="eastAsia" w:ascii="Times New Roman" w:hAnsi="Times New Roman" w:eastAsia="楷体_GB2312"/>
          <w:sz w:val="24"/>
        </w:rPr>
        <w:t>其他</w:t>
      </w:r>
      <w:r>
        <w:rPr>
          <w:rFonts w:ascii="Times New Roman" w:hAnsi="Times New Roman" w:eastAsia="楷体_GB2312"/>
          <w:sz w:val="24"/>
        </w:rPr>
        <w:t>财产</w:t>
      </w:r>
      <w:r>
        <w:rPr>
          <w:rStyle w:val="79"/>
          <w:rFonts w:ascii="Times New Roman" w:hAnsi="Times New Roman" w:eastAsia="楷体_GB2312"/>
          <w:color w:val="auto"/>
          <w:w w:val="0"/>
          <w:sz w:val="24"/>
          <w:u w:val="none"/>
        </w:rPr>
        <w:t>（包括但不限于因“不合格资产”被“赎回”所取得相当于“赎回价格”的款项以及因“资产”被“清仓回购”所取得相当于“清仓回购价格”的款项）</w:t>
      </w:r>
      <w:r>
        <w:rPr>
          <w:rFonts w:ascii="Times New Roman" w:hAnsi="Times New Roman" w:eastAsia="楷体_GB2312"/>
          <w:sz w:val="24"/>
        </w:rPr>
        <w:t>。</w:t>
      </w:r>
      <w:bookmarkEnd w:id="48"/>
    </w:p>
    <w:p w14:paraId="24CF0CC3">
      <w:pPr>
        <w:spacing w:line="360" w:lineRule="auto"/>
        <w:ind w:left="1620"/>
        <w:rPr>
          <w:rFonts w:ascii="Times New Roman" w:hAnsi="Times New Roman" w:eastAsia="楷体_GB2312"/>
          <w:color w:val="000000"/>
          <w:sz w:val="24"/>
        </w:rPr>
      </w:pPr>
      <w:r>
        <w:rPr>
          <w:rFonts w:ascii="Times New Roman" w:hAnsi="Times New Roman" w:eastAsia="楷体_GB2312"/>
          <w:b/>
          <w:bCs/>
          <w:i/>
          <w:iCs/>
          <w:color w:val="FF0000"/>
          <w:w w:val="0"/>
          <w:sz w:val="24"/>
        </w:rPr>
        <w:t>【注：信托财产范围描述，包括过渡期回收款的入池范围、是否入池，可根据具体项目情况调整。】</w:t>
      </w:r>
    </w:p>
    <w:p w14:paraId="362956ED">
      <w:pPr>
        <w:numPr>
          <w:ilvl w:val="2"/>
          <w:numId w:val="6"/>
        </w:numPr>
        <w:tabs>
          <w:tab w:val="left" w:pos="1620"/>
        </w:tabs>
        <w:spacing w:before="156" w:beforeLines="50" w:after="156" w:afterLines="50" w:line="360" w:lineRule="auto"/>
        <w:ind w:left="1620" w:hanging="769"/>
        <w:rPr>
          <w:rFonts w:ascii="Times New Roman" w:hAnsi="Times New Roman" w:eastAsia="楷体_GB2312"/>
          <w:sz w:val="24"/>
        </w:rPr>
      </w:pPr>
      <w:bookmarkStart w:id="49" w:name="_Ref148383488"/>
      <w:r>
        <w:rPr>
          <w:rFonts w:ascii="Times New Roman" w:hAnsi="Times New Roman" w:eastAsia="楷体_GB2312"/>
          <w:b/>
          <w:sz w:val="24"/>
        </w:rPr>
        <w:t>资产的合格标准</w:t>
      </w:r>
      <w:bookmarkEnd w:id="49"/>
    </w:p>
    <w:p w14:paraId="6AF8A3E0">
      <w:pPr>
        <w:tabs>
          <w:tab w:val="left" w:pos="1571"/>
        </w:tabs>
        <w:spacing w:before="156" w:beforeLines="50" w:after="156" w:afterLines="50" w:line="360" w:lineRule="auto"/>
        <w:ind w:left="1571"/>
        <w:rPr>
          <w:rFonts w:ascii="Times New Roman" w:hAnsi="Times New Roman" w:eastAsia="楷体_GB2312"/>
          <w:bCs/>
          <w:sz w:val="24"/>
        </w:rPr>
      </w:pPr>
      <w:r>
        <w:rPr>
          <w:rFonts w:ascii="Times New Roman" w:hAnsi="Times New Roman" w:eastAsia="楷体_GB2312"/>
          <w:sz w:val="24"/>
        </w:rPr>
        <w:t>在“初始起算日”和“信托财产交付日”（“合格标准”对时间另有说明的除外），每一笔初始“资产”均应符合“合格标准”</w:t>
      </w:r>
      <w:r>
        <w:rPr>
          <w:rFonts w:ascii="Times New Roman" w:hAnsi="Times New Roman" w:eastAsia="楷体_GB2312"/>
          <w:bCs/>
          <w:sz w:val="24"/>
        </w:rPr>
        <w:t>。</w:t>
      </w:r>
    </w:p>
    <w:p w14:paraId="5FB3CA26">
      <w:pPr>
        <w:numPr>
          <w:ilvl w:val="2"/>
          <w:numId w:val="6"/>
        </w:numPr>
        <w:tabs>
          <w:tab w:val="left" w:pos="1620"/>
        </w:tabs>
        <w:spacing w:before="156" w:beforeLines="50" w:after="156" w:afterLines="50" w:line="360" w:lineRule="auto"/>
        <w:ind w:left="1620" w:hanging="769"/>
        <w:rPr>
          <w:rFonts w:ascii="Times New Roman" w:hAnsi="Times New Roman" w:eastAsia="楷体_GB2312"/>
          <w:b/>
          <w:sz w:val="24"/>
        </w:rPr>
      </w:pPr>
      <w:r>
        <w:rPr>
          <w:rFonts w:ascii="Times New Roman" w:hAnsi="Times New Roman" w:eastAsia="楷体_GB2312"/>
          <w:b/>
          <w:sz w:val="24"/>
        </w:rPr>
        <w:t>资产的状况</w:t>
      </w:r>
    </w:p>
    <w:p w14:paraId="0F5F04BA">
      <w:pPr>
        <w:tabs>
          <w:tab w:val="left" w:pos="1571"/>
        </w:tabs>
        <w:spacing w:before="156" w:beforeLines="50" w:after="156" w:afterLines="50" w:line="360" w:lineRule="auto"/>
        <w:ind w:left="1571"/>
        <w:rPr>
          <w:rFonts w:ascii="Times New Roman" w:hAnsi="Times New Roman" w:eastAsia="楷体_GB2312"/>
          <w:sz w:val="24"/>
        </w:rPr>
      </w:pPr>
      <w:bookmarkStart w:id="50" w:name="_Ref111021078"/>
      <w:r>
        <w:rPr>
          <w:rFonts w:ascii="Times New Roman" w:hAnsi="Times New Roman" w:eastAsia="楷体_GB2312"/>
          <w:sz w:val="24"/>
        </w:rPr>
        <w:t>截至“初始起算日”和“信托财产交付日”（适用于初始“资产”）及“持续购买基准日”和“持续购买日”（适用于新增“资产”），每一笔“资产”的状况详见“资产清单”。</w:t>
      </w:r>
      <w:bookmarkEnd w:id="50"/>
    </w:p>
    <w:p w14:paraId="4B44FCC8">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bookmarkStart w:id="51" w:name="_Ref331515114"/>
      <w:r>
        <w:rPr>
          <w:rFonts w:ascii="Times New Roman" w:hAnsi="Times New Roman" w:eastAsia="楷体_GB2312"/>
          <w:b/>
          <w:sz w:val="24"/>
        </w:rPr>
        <w:t>信托设立的前提条件</w:t>
      </w:r>
      <w:bookmarkEnd w:id="51"/>
    </w:p>
    <w:p w14:paraId="30A25AC0">
      <w:pPr>
        <w:tabs>
          <w:tab w:val="left" w:pos="992"/>
        </w:tabs>
        <w:spacing w:before="156" w:beforeLines="50" w:after="156" w:afterLines="50" w:line="360" w:lineRule="auto"/>
        <w:ind w:left="992"/>
        <w:rPr>
          <w:rFonts w:ascii="Times New Roman" w:hAnsi="Times New Roman" w:eastAsia="楷体_GB2312"/>
          <w:sz w:val="24"/>
        </w:rPr>
      </w:pPr>
      <w:r>
        <w:rPr>
          <w:rFonts w:ascii="Times New Roman" w:hAnsi="Times New Roman" w:eastAsia="楷体_GB2312"/>
          <w:sz w:val="24"/>
          <w:lang w:val="en-GB"/>
        </w:rPr>
        <w:t>“委托人”于“信托设立日”将初始“资产”信托予“受托人”，“受托人”于“信托设立日”接受该初始“资产”并于“信托设立日”设立“信托”，都以下列先决条件在“信托设立日”当日或之前得到满足（或被有权方放弃）为前提，且“信托”在该等条件满足后生效</w:t>
      </w:r>
      <w:r>
        <w:rPr>
          <w:rFonts w:ascii="Times New Roman" w:hAnsi="Times New Roman" w:eastAsia="楷体_GB2312"/>
          <w:sz w:val="24"/>
        </w:rPr>
        <w:t>：</w:t>
      </w:r>
    </w:p>
    <w:p w14:paraId="5F804646">
      <w:pPr>
        <w:numPr>
          <w:ilvl w:val="0"/>
          <w:numId w:val="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“委托人”已向“受托人”交付了“委托人”的金融许可证、营业执照以及批准“委托人”签署相关“交易文件”以及进行本合同项下交易的必要的公司文件、批文或授权书的复印件（如有）；</w:t>
      </w:r>
    </w:p>
    <w:p w14:paraId="5714D30E">
      <w:pPr>
        <w:numPr>
          <w:ilvl w:val="0"/>
          <w:numId w:val="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“委托人”已向“受托人”交付了完整的“资产清单”（“资产清单”格式见本合同</w:t>
      </w:r>
      <w:r>
        <w:rPr>
          <w:rFonts w:ascii="Times New Roman" w:hAnsi="Times New Roman" w:eastAsia="楷体_GB2312"/>
          <w:b/>
          <w:i/>
          <w:sz w:val="24"/>
        </w:rPr>
        <w:t>附件一</w:t>
      </w:r>
      <w:r>
        <w:rPr>
          <w:rFonts w:ascii="Times New Roman" w:hAnsi="Times New Roman" w:eastAsia="楷体_GB2312"/>
          <w:sz w:val="24"/>
        </w:rPr>
        <w:t>）；</w:t>
      </w:r>
      <w:r>
        <w:rPr>
          <w:rFonts w:ascii="Times New Roman" w:hAnsi="Times New Roman" w:eastAsia="楷体_GB2312"/>
          <w:b/>
          <w:i/>
          <w:color w:val="FF0000"/>
          <w:sz w:val="24"/>
        </w:rPr>
        <w:t xml:space="preserve"> </w:t>
      </w:r>
    </w:p>
    <w:p w14:paraId="54F1A1F1">
      <w:pPr>
        <w:numPr>
          <w:ilvl w:val="0"/>
          <w:numId w:val="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“受托人”已向“委托人”交付了“受托人”的金融许可证、营业执照以及批准“受托人”签署“交易文件”以及进行本合同项下的交易的必要的公司文件、批文或授权书的复印件（如有）；</w:t>
      </w:r>
    </w:p>
    <w:p w14:paraId="54DE7CEE">
      <w:pPr>
        <w:numPr>
          <w:ilvl w:val="0"/>
          <w:numId w:val="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“贷款服务机构”、“资金保管机构”、“牵头主承销商”、“联席主承销商”已分别向“受托人”交付了批准或授权其签署相关“交易文件”的复印件（如有）；</w:t>
      </w:r>
    </w:p>
    <w:p w14:paraId="766BA341">
      <w:pPr>
        <w:numPr>
          <w:ilvl w:val="0"/>
          <w:numId w:val="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“交易文件”（“《承销团协议》”除外）的相关各方已向“受托人”和相应“交易文件”的其他各方交付了经其妥为签署的“交易文件”正本；</w:t>
      </w:r>
    </w:p>
    <w:p w14:paraId="1A62EAED">
      <w:pPr>
        <w:numPr>
          <w:ilvl w:val="0"/>
          <w:numId w:val="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在“银登中心”完成信息的初始登记；</w:t>
      </w:r>
    </w:p>
    <w:p w14:paraId="5FDB58BE">
      <w:pPr>
        <w:numPr>
          <w:ilvl w:val="0"/>
          <w:numId w:val="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“委托人”和“受托人”已获得“人民银行”关于注册发行本次“资产支持证券”的许可和发行本次“资产支持证券”的备案；</w:t>
      </w:r>
    </w:p>
    <w:p w14:paraId="7CE85845">
      <w:pPr>
        <w:numPr>
          <w:ilvl w:val="0"/>
          <w:numId w:val="9"/>
        </w:numPr>
        <w:spacing w:before="156" w:beforeLines="50" w:after="156" w:afterLines="50" w:line="360" w:lineRule="auto"/>
        <w:rPr>
          <w:rFonts w:ascii="Times New Roman" w:hAnsi="Times New Roman" w:eastAsia="楷体_GB2312"/>
          <w:sz w:val="24"/>
        </w:rPr>
      </w:pPr>
      <w:r>
        <w:rPr>
          <w:rFonts w:ascii="Times New Roman" w:hAnsi="Times New Roman" w:eastAsia="楷体_GB2312"/>
          <w:kern w:val="0"/>
          <w:sz w:val="24"/>
        </w:rPr>
        <w:t>“会计顾问</w:t>
      </w:r>
      <w:r>
        <w:rPr>
          <w:rFonts w:hint="eastAsia" w:ascii="Times New Roman" w:hAnsi="Times New Roman" w:eastAsia="楷体_GB2312"/>
          <w:kern w:val="0"/>
          <w:sz w:val="24"/>
        </w:rPr>
        <w:t>/税务</w:t>
      </w:r>
      <w:r>
        <w:rPr>
          <w:rFonts w:ascii="Times New Roman" w:hAnsi="Times New Roman" w:eastAsia="楷体_GB2312"/>
          <w:kern w:val="0"/>
          <w:sz w:val="24"/>
        </w:rPr>
        <w:t>顾问”</w:t>
      </w:r>
      <w:r>
        <w:rPr>
          <w:rFonts w:ascii="Times New Roman" w:hAnsi="Times New Roman" w:eastAsia="楷体_GB2312"/>
          <w:sz w:val="24"/>
        </w:rPr>
        <w:t>已就初始“资产”信托予“受托人”出具了执行商定程序的报告、会计处理意见和税务意见；</w:t>
      </w:r>
    </w:p>
    <w:p w14:paraId="788F5ACE">
      <w:pPr>
        <w:numPr>
          <w:ilvl w:val="0"/>
          <w:numId w:val="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“法律顾问”已经向“委托人”和“受托人”出具了法律意见书和尽职调查报告，除其他事项外，应就“交易文件”的合法性、有效性以及“信托”设立的合法性发表法律意见；</w:t>
      </w:r>
    </w:p>
    <w:p w14:paraId="2E9B87E6">
      <w:pPr>
        <w:numPr>
          <w:ilvl w:val="0"/>
          <w:numId w:val="9"/>
        </w:numPr>
        <w:spacing w:before="156" w:beforeLines="50" w:after="156" w:afterLines="50" w:line="360" w:lineRule="auto"/>
        <w:rPr>
          <w:rFonts w:ascii="Times New Roman" w:hAnsi="Times New Roman" w:eastAsia="楷体_GB2312"/>
          <w:sz w:val="24"/>
        </w:rPr>
      </w:pPr>
      <w:bookmarkStart w:id="52" w:name="_Ref331515210"/>
      <w:r>
        <w:rPr>
          <w:rFonts w:ascii="Times New Roman" w:hAnsi="Times New Roman" w:eastAsia="楷体_GB2312"/>
          <w:sz w:val="24"/>
        </w:rPr>
        <w:t>“委托人”和“受托人”已按照本合同第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_Ref333404977 \r \h  \* MERGEFORMAT </w:instrText>
      </w:r>
      <w:r>
        <w:rPr>
          <w:rFonts w:ascii="Times New Roman" w:hAnsi="Times New Roman" w:eastAsia="楷体_GB2312"/>
          <w:sz w:val="24"/>
        </w:rPr>
        <w:fldChar w:fldCharType="separate"/>
      </w:r>
      <w:r>
        <w:rPr>
          <w:rFonts w:ascii="Times New Roman" w:hAnsi="Times New Roman" w:eastAsia="楷体_GB2312"/>
          <w:sz w:val="24"/>
        </w:rPr>
        <w:t>3.10</w:t>
      </w:r>
      <w:r>
        <w:rPr>
          <w:rFonts w:ascii="Times New Roman" w:hAnsi="Times New Roman" w:eastAsia="楷体_GB2312"/>
          <w:sz w:val="24"/>
        </w:rPr>
        <w:fldChar w:fldCharType="end"/>
      </w:r>
      <w:r>
        <w:rPr>
          <w:rFonts w:ascii="Times New Roman" w:hAnsi="Times New Roman" w:eastAsia="楷体_GB2312"/>
          <w:sz w:val="24"/>
        </w:rPr>
        <w:t>款的约定完成“信托财产”的交付</w:t>
      </w:r>
      <w:bookmarkEnd w:id="52"/>
      <w:r>
        <w:rPr>
          <w:rFonts w:ascii="Times New Roman" w:hAnsi="Times New Roman" w:eastAsia="楷体_GB2312"/>
          <w:sz w:val="24"/>
        </w:rPr>
        <w:t>。</w:t>
      </w:r>
    </w:p>
    <w:p w14:paraId="1FB94E29">
      <w:pPr>
        <w:spacing w:line="360" w:lineRule="auto"/>
        <w:ind w:left="1412"/>
        <w:rPr>
          <w:rFonts w:ascii="Times New Roman" w:hAnsi="Times New Roman" w:eastAsia="楷体_GB2312"/>
          <w:b/>
          <w:bCs/>
          <w:i/>
          <w:iCs/>
          <w:color w:val="FF0000"/>
          <w:sz w:val="24"/>
        </w:rPr>
      </w:pPr>
      <w:r>
        <w:rPr>
          <w:rFonts w:ascii="Times New Roman" w:hAnsi="Times New Roman" w:eastAsia="楷体_GB2312"/>
          <w:b/>
          <w:bCs/>
          <w:i/>
          <w:iCs/>
          <w:color w:val="FF0000"/>
          <w:sz w:val="24"/>
        </w:rPr>
        <w:t>【注：信托设立的前提条件</w:t>
      </w:r>
      <w:r>
        <w:rPr>
          <w:rFonts w:eastAsia="楷体_GB2312"/>
          <w:b/>
          <w:bCs/>
          <w:i/>
          <w:iCs/>
          <w:color w:val="FF0000"/>
          <w:sz w:val="24"/>
        </w:rPr>
        <w:t>请结合项目实际情况一一确认和调整（如需）。</w:t>
      </w:r>
      <w:r>
        <w:rPr>
          <w:rFonts w:ascii="Times New Roman" w:hAnsi="Times New Roman" w:eastAsia="楷体_GB2312"/>
          <w:b/>
          <w:bCs/>
          <w:i/>
          <w:iCs/>
          <w:color w:val="FF0000"/>
          <w:sz w:val="24"/>
        </w:rPr>
        <w:t>】</w:t>
      </w:r>
    </w:p>
    <w:p w14:paraId="22F838F0">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bookmarkStart w:id="53" w:name="_Ref201652815"/>
      <w:bookmarkStart w:id="54" w:name="_Toc201569381"/>
      <w:bookmarkStart w:id="55" w:name="_Ref201576687"/>
      <w:r>
        <w:rPr>
          <w:rFonts w:ascii="Times New Roman" w:hAnsi="Times New Roman" w:eastAsia="楷体_GB2312"/>
          <w:b/>
          <w:sz w:val="24"/>
        </w:rPr>
        <w:t>信托设立公告</w:t>
      </w:r>
    </w:p>
    <w:p w14:paraId="27AD11F3">
      <w:pPr>
        <w:tabs>
          <w:tab w:val="left" w:pos="992"/>
        </w:tabs>
        <w:spacing w:before="156" w:beforeLines="50" w:after="156" w:afterLines="50" w:line="360" w:lineRule="auto"/>
        <w:ind w:left="992"/>
        <w:rPr>
          <w:rFonts w:ascii="Times New Roman" w:hAnsi="Times New Roman" w:eastAsia="楷体_GB2312"/>
          <w:sz w:val="24"/>
        </w:rPr>
      </w:pPr>
      <w:r>
        <w:rPr>
          <w:rFonts w:ascii="Times New Roman" w:hAnsi="Times New Roman" w:eastAsia="楷体_GB2312"/>
          <w:sz w:val="24"/>
        </w:rPr>
        <w:t>“委托人”与“受托人”应于“信托设立日”前根据相关“中国”“法律”的规定在全国性媒体上发布公告，将初始“资产”设立“信托”之事宜予以公布。“信托”设立的公告费用由【“委托人”/“信托财产”】承担。</w:t>
      </w:r>
    </w:p>
    <w:bookmarkEnd w:id="53"/>
    <w:bookmarkEnd w:id="54"/>
    <w:bookmarkEnd w:id="55"/>
    <w:p w14:paraId="35966B0C">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bookmarkStart w:id="56" w:name="_Ref333404977"/>
      <w:r>
        <w:rPr>
          <w:rFonts w:ascii="Times New Roman" w:hAnsi="Times New Roman" w:eastAsia="楷体_GB2312"/>
          <w:b/>
          <w:sz w:val="24"/>
        </w:rPr>
        <w:t>信托财产的交付</w:t>
      </w:r>
      <w:bookmarkEnd w:id="56"/>
    </w:p>
    <w:p w14:paraId="6695880B">
      <w:pPr>
        <w:tabs>
          <w:tab w:val="left" w:pos="992"/>
        </w:tabs>
        <w:spacing w:line="360" w:lineRule="auto"/>
        <w:ind w:left="425" w:firstLine="482" w:firstLineChars="200"/>
        <w:rPr>
          <w:rFonts w:ascii="Times New Roman" w:hAnsi="Times New Roman" w:eastAsia="楷体_GB2312"/>
          <w:b/>
          <w:color w:val="FF0000"/>
          <w:sz w:val="24"/>
        </w:rPr>
      </w:pPr>
      <w:r>
        <w:rPr>
          <w:rFonts w:ascii="Times New Roman" w:hAnsi="Times New Roman" w:eastAsia="楷体_GB2312"/>
          <w:b/>
          <w:bCs/>
          <w:i/>
          <w:iCs/>
          <w:color w:val="FF0000"/>
          <w:sz w:val="24"/>
        </w:rPr>
        <w:t>【注：信托财产的交付形式可根据具体项目情况调整。】</w:t>
      </w:r>
    </w:p>
    <w:p w14:paraId="1191024A">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bookmarkStart w:id="57" w:name="_Ref340169521"/>
      <w:r>
        <w:rPr>
          <w:rFonts w:ascii="Times New Roman" w:hAnsi="Times New Roman" w:eastAsia="楷体_GB2312"/>
          <w:sz w:val="24"/>
        </w:rPr>
        <w:t>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_Ref331515114 \r \h  \* MERGEFORMAT </w:instrText>
      </w:r>
      <w:r>
        <w:rPr>
          <w:rFonts w:ascii="Times New Roman" w:hAnsi="Times New Roman" w:eastAsia="楷体_GB2312"/>
          <w:sz w:val="24"/>
        </w:rPr>
        <w:fldChar w:fldCharType="separate"/>
      </w:r>
      <w:r>
        <w:rPr>
          <w:rFonts w:ascii="Times New Roman" w:hAnsi="Times New Roman" w:eastAsia="楷体_GB2312"/>
          <w:sz w:val="24"/>
        </w:rPr>
        <w:t>3.8</w:t>
      </w:r>
      <w:r>
        <w:rPr>
          <w:rFonts w:ascii="Times New Roman" w:hAnsi="Times New Roman" w:eastAsia="楷体_GB2312"/>
          <w:sz w:val="24"/>
        </w:rPr>
        <w:fldChar w:fldCharType="end"/>
      </w:r>
      <w:r>
        <w:rPr>
          <w:rFonts w:ascii="Times New Roman" w:hAnsi="Times New Roman" w:eastAsia="楷体_GB2312"/>
          <w:sz w:val="24"/>
        </w:rPr>
        <w:t>款约定的条件均已满足</w:t>
      </w:r>
      <w:r>
        <w:rPr>
          <w:rFonts w:ascii="Times New Roman" w:hAnsi="Times New Roman" w:eastAsia="楷体_GB2312"/>
          <w:sz w:val="24"/>
          <w:lang w:val="en-GB"/>
        </w:rPr>
        <w:t>或被放弃</w:t>
      </w:r>
      <w:r>
        <w:rPr>
          <w:rFonts w:ascii="Times New Roman" w:hAnsi="Times New Roman" w:eastAsia="楷体_GB2312"/>
          <w:sz w:val="24"/>
        </w:rPr>
        <w:t>的（但本合同第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_Ref331515114 \r \h  \* MERGEFORMAT </w:instrText>
      </w:r>
      <w:r>
        <w:rPr>
          <w:rFonts w:ascii="Times New Roman" w:hAnsi="Times New Roman" w:eastAsia="楷体_GB2312"/>
          <w:sz w:val="24"/>
        </w:rPr>
        <w:fldChar w:fldCharType="separate"/>
      </w:r>
      <w:r>
        <w:rPr>
          <w:rFonts w:ascii="Times New Roman" w:hAnsi="Times New Roman" w:eastAsia="楷体_GB2312"/>
          <w:sz w:val="24"/>
        </w:rPr>
        <w:t>3.8</w:t>
      </w:r>
      <w:r>
        <w:rPr>
          <w:rFonts w:ascii="Times New Roman" w:hAnsi="Times New Roman" w:eastAsia="楷体_GB2312"/>
          <w:sz w:val="24"/>
        </w:rPr>
        <w:fldChar w:fldCharType="end"/>
      </w:r>
      <w:r>
        <w:rPr>
          <w:rFonts w:ascii="Times New Roman" w:hAnsi="Times New Roman" w:eastAsia="楷体_GB2312"/>
          <w:sz w:val="24"/>
        </w:rPr>
        <w:t>款第</w:t>
      </w:r>
      <w:r>
        <w:rPr>
          <w:rFonts w:ascii="Times New Roman" w:hAnsi="Times New Roman" w:eastAsia="楷体_GB2312"/>
          <w:sz w:val="24"/>
        </w:rPr>
        <w:fldChar w:fldCharType="begin"/>
      </w:r>
      <w:r>
        <w:rPr>
          <w:rFonts w:ascii="Times New Roman" w:hAnsi="Times New Roman" w:eastAsia="楷体_GB2312"/>
          <w:sz w:val="24"/>
        </w:rPr>
        <w:instrText xml:space="preserve"> REF _Ref331515210 \r \h  \* MERGEFORMAT </w:instrText>
      </w:r>
      <w:r>
        <w:rPr>
          <w:rFonts w:ascii="Times New Roman" w:hAnsi="Times New Roman" w:eastAsia="楷体_GB2312"/>
          <w:sz w:val="24"/>
        </w:rPr>
        <w:fldChar w:fldCharType="separate"/>
      </w:r>
      <w:r>
        <w:rPr>
          <w:rFonts w:ascii="Times New Roman" w:hAnsi="Times New Roman" w:eastAsia="楷体_GB2312"/>
          <w:sz w:val="24"/>
        </w:rPr>
        <w:t>(10)</w:t>
      </w:r>
      <w:r>
        <w:rPr>
          <w:rFonts w:ascii="Times New Roman" w:hAnsi="Times New Roman" w:eastAsia="楷体_GB2312"/>
          <w:sz w:val="24"/>
        </w:rPr>
        <w:fldChar w:fldCharType="end"/>
      </w:r>
      <w:r>
        <w:rPr>
          <w:rFonts w:ascii="Times New Roman" w:hAnsi="Times New Roman" w:eastAsia="楷体_GB2312"/>
          <w:sz w:val="24"/>
        </w:rPr>
        <w:t>项除外），“委托人”应不迟于“信托财产交付日”【</w:t>
      </w:r>
      <w:r>
        <w:rPr>
          <w:rFonts w:hint="eastAsia" w:ascii="Times New Roman" w:hAnsi="Times New Roman" w:eastAsia="楷体_GB2312"/>
          <w:i/>
          <w:iCs/>
          <w:sz w:val="24"/>
        </w:rPr>
        <w:t>具体时点</w:t>
      </w:r>
      <w:r>
        <w:rPr>
          <w:rFonts w:ascii="Times New Roman" w:hAnsi="Times New Roman" w:eastAsia="楷体_GB2312"/>
          <w:sz w:val="24"/>
        </w:rPr>
        <w:t>】（北京时间）将“资产清单”交付给“受托人”。</w:t>
      </w:r>
      <w:bookmarkEnd w:id="57"/>
    </w:p>
    <w:p w14:paraId="031180C4">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bookmarkStart w:id="58" w:name="_Ref333410977"/>
      <w:r>
        <w:rPr>
          <w:rFonts w:ascii="Times New Roman" w:hAnsi="Times New Roman" w:eastAsia="楷体_GB2312"/>
          <w:sz w:val="24"/>
        </w:rPr>
        <w:t>在“委托人”将本合同第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_Ref340169521 \r \h  \* MERGEFORMAT </w:instrText>
      </w:r>
      <w:r>
        <w:rPr>
          <w:rFonts w:ascii="Times New Roman" w:hAnsi="Times New Roman" w:eastAsia="楷体_GB2312"/>
          <w:sz w:val="24"/>
        </w:rPr>
        <w:fldChar w:fldCharType="separate"/>
      </w:r>
      <w:r>
        <w:rPr>
          <w:rFonts w:ascii="Times New Roman" w:hAnsi="Times New Roman" w:eastAsia="楷体_GB2312"/>
          <w:sz w:val="24"/>
        </w:rPr>
        <w:t>3.10.1</w:t>
      </w:r>
      <w:r>
        <w:rPr>
          <w:rFonts w:ascii="Times New Roman" w:hAnsi="Times New Roman" w:eastAsia="楷体_GB2312"/>
          <w:sz w:val="24"/>
        </w:rPr>
        <w:fldChar w:fldCharType="end"/>
      </w:r>
      <w:r>
        <w:rPr>
          <w:rFonts w:ascii="Times New Roman" w:hAnsi="Times New Roman" w:eastAsia="楷体_GB2312"/>
          <w:sz w:val="24"/>
        </w:rPr>
        <w:t>款所列全部文件交付给“受托人”后，“受托人”应在当日向“委托人”出具“资产清单”已经接收的确认函（格式见本合同</w:t>
      </w:r>
      <w:r>
        <w:rPr>
          <w:rFonts w:ascii="Times New Roman" w:hAnsi="Times New Roman" w:eastAsia="楷体_GB2312"/>
          <w:b/>
          <w:i/>
          <w:sz w:val="24"/>
        </w:rPr>
        <w:t>附件二</w:t>
      </w:r>
      <w:r>
        <w:rPr>
          <w:rFonts w:ascii="Times New Roman" w:hAnsi="Times New Roman" w:eastAsia="楷体_GB2312"/>
          <w:sz w:val="24"/>
        </w:rPr>
        <w:t>）并加盖“受托人”的公章。</w:t>
      </w:r>
    </w:p>
    <w:p w14:paraId="5185954D">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双方确认，自“信托财产交付日”起，根据第</w:t>
      </w:r>
      <w:r>
        <w:rPr>
          <w:rFonts w:ascii="Times New Roman" w:hAnsi="Times New Roman" w:eastAsia="楷体_GB2312"/>
          <w:sz w:val="24"/>
        </w:rPr>
        <w:fldChar w:fldCharType="begin"/>
      </w:r>
      <w:r>
        <w:rPr>
          <w:rFonts w:ascii="Times New Roman" w:hAnsi="Times New Roman" w:eastAsia="楷体_GB2312"/>
          <w:sz w:val="24"/>
        </w:rPr>
        <w:instrText xml:space="preserve"> REF _Ref396744645 \r \h  \* MERGEFORMAT </w:instrText>
      </w:r>
      <w:r>
        <w:rPr>
          <w:rFonts w:ascii="Times New Roman" w:hAnsi="Times New Roman" w:eastAsia="楷体_GB2312"/>
          <w:sz w:val="24"/>
        </w:rPr>
        <w:fldChar w:fldCharType="separate"/>
      </w:r>
      <w:r>
        <w:rPr>
          <w:rFonts w:ascii="Times New Roman" w:hAnsi="Times New Roman" w:eastAsia="楷体_GB2312"/>
          <w:sz w:val="24"/>
        </w:rPr>
        <w:t>3.6.2</w:t>
      </w:r>
      <w:r>
        <w:rPr>
          <w:rFonts w:ascii="Times New Roman" w:hAnsi="Times New Roman" w:eastAsia="楷体_GB2312"/>
          <w:sz w:val="24"/>
        </w:rPr>
        <w:fldChar w:fldCharType="end"/>
      </w:r>
      <w:r>
        <w:rPr>
          <w:rFonts w:ascii="Times New Roman" w:hAnsi="Times New Roman" w:eastAsia="楷体_GB2312"/>
          <w:sz w:val="24"/>
        </w:rPr>
        <w:t>款由“信托”专属享有的“账户记录”原件视为已交付给作为“受托人”代理人的“贷款服务机构”。“委托人”担任“贷款服务机构”期间，应按照“《服务合同》”的有关约定保管全部“账户记录”。如果“委托人”作为“贷款服务机构”依据“《服务合同》”被解任的，“委托人”应按照“《服务合同》”的有关约定向“替代贷款服务机构”（或“受托人”或其指定的第三方，视具体情况而定）交付“信托”专属所有的“账户记录”的原件；就“委托人”与“受托人”共有部分的“账户记录”，“委托人”应交付经公证与原件一致（相关公证费用由【“委托人”】承担）的且加盖“委托人”公章的复印件。“委托人”仅交付经公证的复印件的，“受托人”或其代理人为行使或主张初始“资产”项下权利、权益或履行“交易文件”项下“受托人”的权利、义务的需要，有权查阅、使用与初始“资产”有关的“账户记录”原件。</w:t>
      </w:r>
    </w:p>
    <w:p w14:paraId="0CBD8A5D">
      <w:pPr>
        <w:numPr>
          <w:ilvl w:val="2"/>
          <w:numId w:val="6"/>
        </w:numPr>
        <w:tabs>
          <w:tab w:val="left" w:pos="900"/>
        </w:tabs>
        <w:spacing w:before="156" w:beforeLines="50" w:after="156" w:afterLines="50" w:line="360" w:lineRule="auto"/>
        <w:ind w:left="1620" w:hanging="769"/>
        <w:rPr>
          <w:rFonts w:ascii="Times New Roman" w:hAnsi="Times New Roman" w:eastAsia="楷体_GB2312"/>
          <w:w w:val="0"/>
          <w:sz w:val="24"/>
        </w:rPr>
      </w:pPr>
      <w:bookmarkStart w:id="59" w:name="_DV_C324"/>
      <w:bookmarkStart w:id="60" w:name="_Ref173742621"/>
      <w:bookmarkStart w:id="61" w:name="_Ref350848244"/>
      <w:bookmarkStart w:id="62" w:name="_Ref146254109"/>
      <w:r>
        <w:rPr>
          <w:rStyle w:val="79"/>
          <w:rFonts w:ascii="Times New Roman" w:hAnsi="Times New Roman" w:eastAsia="楷体_GB2312"/>
          <w:color w:val="auto"/>
          <w:w w:val="0"/>
          <w:sz w:val="24"/>
          <w:u w:val="none"/>
        </w:rPr>
        <w:t>“委托人”应于“信托财产交付日”将自“初始起算日”（含该日）至“信托财产交付日”（不含该日）收到的所有“回收款”转入“信托账户”</w:t>
      </w:r>
      <w:bookmarkEnd w:id="59"/>
      <w:bookmarkEnd w:id="60"/>
      <w:r>
        <w:rPr>
          <w:rStyle w:val="79"/>
          <w:rFonts w:ascii="Times New Roman" w:hAnsi="Times New Roman" w:eastAsia="楷体_GB2312"/>
          <w:color w:val="auto"/>
          <w:w w:val="0"/>
          <w:sz w:val="24"/>
          <w:u w:val="none"/>
        </w:rPr>
        <w:t>。</w:t>
      </w:r>
      <w:bookmarkEnd w:id="61"/>
    </w:p>
    <w:p w14:paraId="5E71BEAA">
      <w:pPr>
        <w:numPr>
          <w:ilvl w:val="2"/>
          <w:numId w:val="6"/>
        </w:numPr>
        <w:tabs>
          <w:tab w:val="left" w:pos="900"/>
        </w:tabs>
        <w:spacing w:before="156" w:beforeLines="50" w:after="156" w:afterLines="50" w:line="360" w:lineRule="auto"/>
        <w:ind w:left="1620" w:hanging="769"/>
        <w:rPr>
          <w:rFonts w:ascii="Times New Roman" w:hAnsi="Times New Roman" w:eastAsia="楷体_GB2312"/>
          <w:w w:val="0"/>
          <w:sz w:val="24"/>
        </w:rPr>
      </w:pPr>
      <w:bookmarkStart w:id="63" w:name="_DV_C331"/>
      <w:r>
        <w:rPr>
          <w:rStyle w:val="79"/>
          <w:rFonts w:ascii="Times New Roman" w:hAnsi="Times New Roman" w:eastAsia="楷体_GB2312"/>
          <w:color w:val="auto"/>
          <w:w w:val="0"/>
          <w:sz w:val="24"/>
          <w:u w:val="none"/>
        </w:rPr>
        <w:t>在“委托人”收到“受托人”出具的确认函且“委托人”履行完毕本合同第</w:t>
      </w:r>
      <w:r>
        <w:rPr>
          <w:rFonts w:ascii="Times New Roman" w:hAnsi="Times New Roman" w:eastAsia="楷体_GB2312"/>
          <w:sz w:val="24"/>
        </w:rPr>
        <w:fldChar w:fldCharType="begin"/>
      </w:r>
      <w:r>
        <w:rPr>
          <w:rStyle w:val="79"/>
          <w:rFonts w:ascii="Times New Roman" w:hAnsi="Times New Roman" w:eastAsia="楷体_GB2312"/>
          <w:color w:val="auto"/>
          <w:w w:val="0"/>
          <w:sz w:val="24"/>
          <w:u w:val="none"/>
        </w:rPr>
        <w:instrText xml:space="preserve"> REF _Ref350848244 \r \h </w:instrText>
      </w:r>
      <w:r>
        <w:rPr>
          <w:rFonts w:ascii="Times New Roman" w:hAnsi="Times New Roman" w:eastAsia="楷体_GB2312"/>
          <w:sz w:val="24"/>
        </w:rPr>
        <w:instrText xml:space="preserve"> \* MERGEFORMAT </w:instrText>
      </w:r>
      <w:r>
        <w:rPr>
          <w:rFonts w:ascii="Times New Roman" w:hAnsi="Times New Roman" w:eastAsia="楷体_GB2312"/>
          <w:sz w:val="24"/>
        </w:rPr>
        <w:fldChar w:fldCharType="separate"/>
      </w:r>
      <w:r>
        <w:rPr>
          <w:rStyle w:val="79"/>
          <w:rFonts w:ascii="Times New Roman" w:hAnsi="Times New Roman" w:eastAsia="楷体_GB2312"/>
          <w:color w:val="auto"/>
          <w:w w:val="0"/>
          <w:sz w:val="24"/>
          <w:u w:val="none"/>
        </w:rPr>
        <w:t>3.10.4</w:t>
      </w:r>
      <w:r>
        <w:rPr>
          <w:rFonts w:ascii="Times New Roman" w:hAnsi="Times New Roman" w:eastAsia="楷体_GB2312"/>
          <w:sz w:val="24"/>
        </w:rPr>
        <w:fldChar w:fldCharType="end"/>
      </w:r>
      <w:r>
        <w:rPr>
          <w:rStyle w:val="79"/>
          <w:rFonts w:hint="eastAsia" w:ascii="Times New Roman" w:hAnsi="Times New Roman" w:eastAsia="楷体_GB2312"/>
          <w:color w:val="auto"/>
          <w:w w:val="0"/>
          <w:sz w:val="24"/>
          <w:u w:val="none"/>
        </w:rPr>
        <w:t>款</w:t>
      </w:r>
      <w:r>
        <w:rPr>
          <w:rStyle w:val="79"/>
          <w:rFonts w:ascii="Times New Roman" w:hAnsi="Times New Roman" w:eastAsia="楷体_GB2312"/>
          <w:color w:val="auto"/>
          <w:w w:val="0"/>
          <w:sz w:val="24"/>
          <w:u w:val="none"/>
        </w:rPr>
        <w:t>约定的划款义务后，“信托财产”交付完毕。</w:t>
      </w:r>
      <w:bookmarkEnd w:id="58"/>
      <w:bookmarkEnd w:id="62"/>
      <w:bookmarkEnd w:id="63"/>
    </w:p>
    <w:p w14:paraId="4CAC7864">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bookmarkStart w:id="64" w:name="_Ref111342673"/>
      <w:bookmarkStart w:id="65" w:name="_Toc193703303"/>
      <w:r>
        <w:rPr>
          <w:rFonts w:ascii="Times New Roman" w:hAnsi="Times New Roman" w:eastAsia="楷体_GB2312"/>
          <w:b/>
          <w:sz w:val="24"/>
        </w:rPr>
        <w:t>资产支持证券募集资金的支付</w:t>
      </w:r>
      <w:bookmarkEnd w:id="64"/>
      <w:bookmarkEnd w:id="65"/>
    </w:p>
    <w:p w14:paraId="0F937F1B">
      <w:pPr>
        <w:spacing w:before="156" w:beforeLines="50" w:after="156" w:afterLines="50" w:line="360" w:lineRule="auto"/>
        <w:ind w:left="998" w:leftChars="475"/>
        <w:rPr>
          <w:rFonts w:ascii="Times New Roman" w:hAnsi="Times New Roman" w:eastAsia="楷体_GB2312"/>
          <w:w w:val="0"/>
          <w:sz w:val="24"/>
        </w:rPr>
      </w:pPr>
      <w:r>
        <w:rPr>
          <w:rFonts w:ascii="Times New Roman" w:hAnsi="Times New Roman" w:eastAsia="楷体_GB2312"/>
          <w:w w:val="0"/>
          <w:sz w:val="24"/>
        </w:rPr>
        <w:t>“受托机构”应不迟于“信托财产交付日”（北京时间）下午【</w:t>
      </w:r>
      <w:r>
        <w:rPr>
          <w:rFonts w:hint="eastAsia" w:ascii="Times New Roman" w:hAnsi="Times New Roman" w:eastAsia="楷体_GB2312"/>
          <w:i/>
          <w:iCs/>
          <w:w w:val="0"/>
          <w:sz w:val="24"/>
        </w:rPr>
        <w:t>具体时点</w:t>
      </w:r>
      <w:r>
        <w:rPr>
          <w:rFonts w:ascii="Times New Roman" w:hAnsi="Times New Roman" w:eastAsia="楷体_GB2312"/>
          <w:w w:val="0"/>
          <w:sz w:val="24"/>
        </w:rPr>
        <w:t>】，将“资产支持证券募集资金”由</w:t>
      </w:r>
      <w:r>
        <w:rPr>
          <w:rFonts w:hint="eastAsia" w:eastAsia="楷体_GB2312"/>
          <w:b/>
          <w:bCs/>
          <w:i/>
          <w:iCs/>
          <w:color w:val="FF0000"/>
          <w:w w:val="0"/>
          <w:sz w:val="24"/>
        </w:rPr>
        <w:t>【结合项目实际情况填入募集资金收款账户名称】</w:t>
      </w:r>
      <w:r>
        <w:rPr>
          <w:rFonts w:ascii="Times New Roman" w:hAnsi="Times New Roman" w:eastAsia="楷体_GB2312"/>
          <w:w w:val="0"/>
          <w:sz w:val="24"/>
        </w:rPr>
        <w:t>支付到“发起机构”指定的账户，户名：【】，开户行：【】，账号：【】，联行号：【】。</w:t>
      </w:r>
    </w:p>
    <w:p w14:paraId="287FDC11">
      <w:pPr>
        <w:numPr>
          <w:ilvl w:val="1"/>
          <w:numId w:val="6"/>
        </w:numPr>
        <w:tabs>
          <w:tab w:val="left" w:pos="900"/>
        </w:tabs>
        <w:spacing w:before="156" w:beforeLines="50" w:after="156" w:afterLines="50" w:line="360" w:lineRule="auto"/>
        <w:outlineLvl w:val="1"/>
        <w:rPr>
          <w:rFonts w:ascii="Times New Roman" w:hAnsi="Times New Roman" w:eastAsia="楷体_GB2312"/>
          <w:b/>
          <w:w w:val="0"/>
          <w:sz w:val="24"/>
        </w:rPr>
      </w:pPr>
      <w:r>
        <w:rPr>
          <w:rFonts w:ascii="Times New Roman" w:hAnsi="Times New Roman" w:eastAsia="楷体_GB2312"/>
          <w:b/>
          <w:w w:val="0"/>
          <w:sz w:val="24"/>
        </w:rPr>
        <w:t>向发起机构发行的资产支持证券的交付</w:t>
      </w:r>
    </w:p>
    <w:p w14:paraId="4C2A46ED">
      <w:pPr>
        <w:tabs>
          <w:tab w:val="left" w:pos="992"/>
        </w:tabs>
        <w:spacing w:before="156" w:beforeLines="50" w:after="156" w:afterLines="50" w:line="360" w:lineRule="auto"/>
        <w:ind w:left="992"/>
        <w:rPr>
          <w:rFonts w:ascii="Times New Roman" w:hAnsi="Times New Roman" w:eastAsia="楷体_GB2312"/>
          <w:b/>
          <w:bCs/>
          <w:i/>
          <w:iCs/>
          <w:color w:val="FF0000"/>
          <w:w w:val="0"/>
          <w:sz w:val="24"/>
        </w:rPr>
      </w:pPr>
      <w:r>
        <w:rPr>
          <w:rFonts w:ascii="Times New Roman" w:hAnsi="Times New Roman" w:eastAsia="楷体_GB2312"/>
          <w:w w:val="0"/>
          <w:sz w:val="24"/>
        </w:rPr>
        <w:t>“受托机构”应不迟于“信托财产交付日”，按照“登记托管机构”的规则将向“发起机构”发行的面值为人民币【】元的“次级资产支持证券”交付给“发起机构”。</w:t>
      </w:r>
    </w:p>
    <w:p w14:paraId="0CEFC845">
      <w:pPr>
        <w:tabs>
          <w:tab w:val="left" w:pos="992"/>
        </w:tabs>
        <w:spacing w:before="156" w:beforeLines="50" w:after="156" w:afterLines="50" w:line="360" w:lineRule="auto"/>
        <w:ind w:left="992"/>
        <w:rPr>
          <w:rFonts w:ascii="Times New Roman" w:hAnsi="Times New Roman" w:eastAsia="楷体_GB2312"/>
          <w:b/>
          <w:bCs/>
          <w:i/>
          <w:iCs/>
          <w:color w:val="FF0000"/>
          <w:w w:val="0"/>
          <w:sz w:val="24"/>
        </w:rPr>
      </w:pPr>
      <w:r>
        <w:rPr>
          <w:rFonts w:ascii="Times New Roman" w:hAnsi="Times New Roman" w:eastAsia="楷体_GB2312"/>
          <w:b/>
          <w:bCs/>
          <w:i/>
          <w:iCs/>
          <w:color w:val="FF0000"/>
          <w:w w:val="0"/>
          <w:sz w:val="24"/>
        </w:rPr>
        <w:t>【注：发起机构自持方式可根据每期项目的实际情况调整。】</w:t>
      </w:r>
    </w:p>
    <w:p w14:paraId="65E2AE32">
      <w:pPr>
        <w:numPr>
          <w:ilvl w:val="1"/>
          <w:numId w:val="6"/>
        </w:numPr>
        <w:tabs>
          <w:tab w:val="left" w:pos="900"/>
        </w:tabs>
        <w:spacing w:before="156" w:beforeLines="50" w:after="156" w:afterLines="50" w:line="360" w:lineRule="auto"/>
        <w:outlineLvl w:val="1"/>
        <w:rPr>
          <w:rFonts w:ascii="Times New Roman" w:hAnsi="Times New Roman" w:eastAsia="楷体_GB2312"/>
          <w:b/>
          <w:w w:val="0"/>
          <w:sz w:val="24"/>
        </w:rPr>
      </w:pPr>
      <w:r>
        <w:rPr>
          <w:rFonts w:ascii="Times New Roman" w:hAnsi="Times New Roman" w:eastAsia="楷体_GB2312"/>
          <w:b/>
          <w:w w:val="0"/>
          <w:sz w:val="24"/>
        </w:rPr>
        <w:t>新增基础资产的持续购买</w:t>
      </w:r>
    </w:p>
    <w:p w14:paraId="444197AB">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委托人”同意，在“持续购买期”内，“受托人”有权作为“买方”以“本金分账户”内的资金向作为“卖方”的“委托人”持续购买新增“资产”。持续购买的新增“资产”将构成“资产池”和“信托财产”的一部分。</w:t>
      </w:r>
    </w:p>
    <w:p w14:paraId="23645D5B">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“受托人”仅能以“本金分账户”内资金进行持续购买。每次持续购买的新增“资产”在对应的“持续购买基准日”的“未偿本金余额”之和应不超过当期“可用持续购买资金”。</w:t>
      </w:r>
    </w:p>
    <w:p w14:paraId="5C5E248E">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有关“资产”持续购买及相关事项的具体安排，由“受托人”与“委托人”在另行签署的“《资产持续购买合同》”中约定。</w:t>
      </w:r>
    </w:p>
    <w:bookmarkEnd w:id="45"/>
    <w:p w14:paraId="22AD33C7">
      <w:pPr>
        <w:numPr>
          <w:ilvl w:val="0"/>
          <w:numId w:val="6"/>
        </w:numPr>
        <w:spacing w:before="156" w:beforeLines="50" w:after="156" w:afterLines="50" w:line="360" w:lineRule="auto"/>
        <w:outlineLvl w:val="0"/>
        <w:rPr>
          <w:rFonts w:ascii="Times New Roman" w:hAnsi="Times New Roman" w:eastAsia="楷体_GB2312"/>
          <w:b/>
          <w:sz w:val="24"/>
        </w:rPr>
      </w:pPr>
      <w:bookmarkStart w:id="66" w:name="_Toc148384174"/>
      <w:bookmarkEnd w:id="66"/>
      <w:bookmarkStart w:id="67" w:name="_Toc148384179"/>
      <w:bookmarkEnd w:id="67"/>
      <w:bookmarkStart w:id="68" w:name="_DV_M133"/>
      <w:bookmarkEnd w:id="68"/>
      <w:bookmarkStart w:id="69" w:name="_DV_M132"/>
      <w:bookmarkEnd w:id="69"/>
      <w:bookmarkStart w:id="70" w:name="_DV_M45"/>
      <w:bookmarkEnd w:id="70"/>
      <w:bookmarkStart w:id="71" w:name="_DV_M43"/>
      <w:bookmarkEnd w:id="71"/>
      <w:bookmarkStart w:id="72" w:name="_DV_M137"/>
      <w:bookmarkEnd w:id="72"/>
      <w:bookmarkStart w:id="73" w:name="_DV_M134"/>
      <w:bookmarkEnd w:id="73"/>
      <w:bookmarkStart w:id="74" w:name="_Toc148440766"/>
      <w:bookmarkEnd w:id="74"/>
      <w:bookmarkStart w:id="75" w:name="_Toc148440764"/>
      <w:bookmarkEnd w:id="75"/>
      <w:bookmarkStart w:id="76" w:name="_Toc150895682"/>
      <w:bookmarkEnd w:id="76"/>
      <w:bookmarkStart w:id="77" w:name="_Toc148440769"/>
      <w:bookmarkEnd w:id="77"/>
      <w:bookmarkStart w:id="78" w:name="_DV_M47"/>
      <w:bookmarkEnd w:id="78"/>
      <w:bookmarkStart w:id="79" w:name="_Toc148384178"/>
      <w:bookmarkEnd w:id="79"/>
      <w:bookmarkStart w:id="80" w:name="_DV_M135"/>
      <w:bookmarkEnd w:id="80"/>
      <w:bookmarkStart w:id="81" w:name="_Toc148384176"/>
      <w:bookmarkEnd w:id="81"/>
      <w:bookmarkStart w:id="82" w:name="_DV_M136"/>
      <w:bookmarkEnd w:id="82"/>
      <w:bookmarkStart w:id="83" w:name="_Toc204497517"/>
      <w:bookmarkEnd w:id="83"/>
      <w:bookmarkStart w:id="84" w:name="_Toc146989560"/>
      <w:bookmarkEnd w:id="84"/>
      <w:bookmarkStart w:id="85" w:name="_Toc146989559"/>
      <w:bookmarkEnd w:id="85"/>
      <w:bookmarkStart w:id="86" w:name="_Toc148440768"/>
      <w:bookmarkEnd w:id="86"/>
      <w:bookmarkStart w:id="87" w:name="_Toc146989561"/>
      <w:bookmarkEnd w:id="87"/>
      <w:bookmarkStart w:id="88" w:name="_DV_M44"/>
      <w:bookmarkEnd w:id="88"/>
      <w:bookmarkStart w:id="89" w:name="_Ref336008482"/>
      <w:bookmarkStart w:id="90" w:name="_Ref340082454"/>
      <w:bookmarkStart w:id="91" w:name="_Toc201490205"/>
      <w:bookmarkStart w:id="92" w:name="_Toc227694324"/>
      <w:bookmarkStart w:id="93" w:name="_Toc201569382"/>
      <w:bookmarkStart w:id="94" w:name="_Ref201647086"/>
      <w:r>
        <w:rPr>
          <w:rFonts w:ascii="Times New Roman" w:hAnsi="Times New Roman" w:eastAsia="楷体_GB2312"/>
          <w:b/>
          <w:sz w:val="24"/>
          <w:lang w:val="en-GB"/>
        </w:rPr>
        <w:t>不合格资产的</w:t>
      </w:r>
      <w:r>
        <w:rPr>
          <w:rFonts w:ascii="Times New Roman" w:hAnsi="Times New Roman" w:eastAsia="楷体_GB2312"/>
          <w:b/>
          <w:sz w:val="24"/>
        </w:rPr>
        <w:t>赎回</w:t>
      </w:r>
      <w:bookmarkEnd w:id="89"/>
      <w:bookmarkEnd w:id="90"/>
      <w:bookmarkEnd w:id="91"/>
      <w:bookmarkEnd w:id="92"/>
      <w:bookmarkEnd w:id="93"/>
      <w:bookmarkEnd w:id="94"/>
    </w:p>
    <w:p w14:paraId="69A82B1D">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bookmarkStart w:id="95" w:name="_Ref201483343"/>
      <w:bookmarkStart w:id="96" w:name="_Ref204427100"/>
      <w:bookmarkStart w:id="97" w:name="_Toc201569383"/>
      <w:r>
        <w:rPr>
          <w:rFonts w:ascii="Times New Roman" w:hAnsi="Times New Roman" w:eastAsia="楷体_GB2312"/>
          <w:b/>
          <w:sz w:val="24"/>
        </w:rPr>
        <w:t>不合格资产的赎回</w:t>
      </w:r>
    </w:p>
    <w:p w14:paraId="738ADEDC">
      <w:pPr>
        <w:spacing w:line="360" w:lineRule="auto"/>
        <w:ind w:left="425"/>
        <w:rPr>
          <w:rFonts w:ascii="Times New Roman" w:hAnsi="Times New Roman" w:eastAsia="楷体_GB2312"/>
          <w:b/>
          <w:bCs/>
          <w:i/>
          <w:iCs/>
          <w:snapToGrid w:val="0"/>
          <w:color w:val="FF0000"/>
          <w:kern w:val="28"/>
          <w:sz w:val="24"/>
        </w:rPr>
      </w:pPr>
      <w:bookmarkStart w:id="98" w:name="_Ref303849105"/>
      <w:r>
        <w:rPr>
          <w:rFonts w:ascii="Times New Roman" w:hAnsi="Times New Roman" w:eastAsia="楷体_GB2312"/>
          <w:b/>
          <w:bCs/>
          <w:i/>
          <w:iCs/>
          <w:snapToGrid w:val="0"/>
          <w:color w:val="FF0000"/>
          <w:kern w:val="28"/>
          <w:sz w:val="24"/>
        </w:rPr>
        <w:t>【注：不合格资产的赎回流程可根据具体项目情况调整。】</w:t>
      </w:r>
    </w:p>
    <w:p w14:paraId="31948A45">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bookmarkStart w:id="99" w:name="_Ref220487589"/>
      <w:r>
        <w:rPr>
          <w:rFonts w:ascii="Times New Roman" w:hAnsi="Times New Roman" w:eastAsia="楷体_GB2312"/>
          <w:sz w:val="24"/>
        </w:rPr>
        <w:t>在“信托期限”内，如“委托人”、“受托人”或者“贷款服务机构”发现“不合格资产”，则“委托人”或“贷款服务机构”应在发现“不合格资产”后</w:t>
      </w:r>
      <w:r>
        <w:rPr>
          <w:rFonts w:ascii="Times New Roman" w:hAnsi="Times New Roman" w:eastAsia="楷体_GB2312"/>
          <w:b/>
          <w:sz w:val="24"/>
        </w:rPr>
        <w:t>【】</w:t>
      </w:r>
      <w:r>
        <w:rPr>
          <w:rFonts w:ascii="Times New Roman" w:hAnsi="Times New Roman" w:eastAsia="楷体_GB2312"/>
          <w:sz w:val="24"/>
        </w:rPr>
        <w:t>个“工作日”内通知“受托人”；“受托人”有权通知“委托人”对前述“不合格资产”予以“赎回”。在“受托人”发出“赎回”“不合格资产”的通知时，“受托人”应出具相关</w:t>
      </w:r>
      <w:r>
        <w:rPr>
          <w:rFonts w:ascii="Times New Roman" w:hAnsi="Times New Roman" w:eastAsia="楷体_GB2312"/>
          <w:bCs/>
          <w:sz w:val="24"/>
        </w:rPr>
        <w:t>“</w:t>
      </w:r>
      <w:r>
        <w:rPr>
          <w:rFonts w:ascii="Times New Roman" w:hAnsi="Times New Roman" w:eastAsia="楷体_GB2312"/>
          <w:sz w:val="24"/>
        </w:rPr>
        <w:t>资产</w:t>
      </w:r>
      <w:r>
        <w:rPr>
          <w:rFonts w:ascii="Times New Roman" w:hAnsi="Times New Roman" w:eastAsia="楷体_GB2312"/>
          <w:bCs/>
          <w:sz w:val="24"/>
        </w:rPr>
        <w:t>”</w:t>
      </w:r>
      <w:r>
        <w:rPr>
          <w:rFonts w:ascii="Times New Roman" w:hAnsi="Times New Roman" w:eastAsia="楷体_GB2312"/>
          <w:sz w:val="24"/>
        </w:rPr>
        <w:t>不合格的书面理由。</w:t>
      </w:r>
      <w:bookmarkEnd w:id="98"/>
      <w:bookmarkEnd w:id="99"/>
    </w:p>
    <w:p w14:paraId="2A8945B8">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bookmarkStart w:id="100" w:name="_Ref331593435"/>
      <w:r>
        <w:rPr>
          <w:rFonts w:ascii="Times New Roman" w:hAnsi="Times New Roman" w:eastAsia="楷体_GB2312"/>
          <w:sz w:val="24"/>
        </w:rPr>
        <w:t>如“受托人</w:t>
      </w:r>
      <w:bookmarkStart w:id="101" w:name="OLE_LINK4"/>
      <w:bookmarkStart w:id="102" w:name="OLE_LINK5"/>
      <w:r>
        <w:rPr>
          <w:rFonts w:ascii="Times New Roman" w:hAnsi="Times New Roman" w:eastAsia="楷体_GB2312"/>
          <w:sz w:val="24"/>
        </w:rPr>
        <w:t>”</w:t>
      </w:r>
      <w:bookmarkEnd w:id="101"/>
      <w:bookmarkEnd w:id="102"/>
      <w:r>
        <w:rPr>
          <w:rFonts w:ascii="Times New Roman" w:hAnsi="Times New Roman" w:eastAsia="楷体_GB2312"/>
          <w:sz w:val="24"/>
        </w:rPr>
        <w:t>提出“赎回”相应的“不合格资产”的书面要求，“委托人”应于发出该书面通知要求所在的“收款期间”后的第一个“回收款转付日”，将等同于待“赎回”全部“不合格资产”的“赎回价格”的款项一次性划付到“信托账户”。</w:t>
      </w:r>
      <w:bookmarkEnd w:id="100"/>
    </w:p>
    <w:p w14:paraId="6F4476B6">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在“受托人”收到“委托人”“赎回”“不合格资产”所支付的相当于“赎回价格”的资金后，（1）“受托人”自“回购起算日”起（含该日）对该“不合格资产”和相关“账户记录”的（现时的和未来的、实际的和或有的）权利、权益、利益和收益全部转让给“委托人”；(2)相关由“信托”专属所有的“账户记录”应由或被视为由作为“受托人”代理人的“贷款服务机构”交付给“委托人”。在“委托人”承担费用的前提下，“受托人”应按照“委托人”的合理意见，协助“委托人”办理必要的所有变更登记和通知手续（如有）。</w:t>
      </w:r>
    </w:p>
    <w:p w14:paraId="308B2046">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在“委托人”从“受托人”处“赎回”相关“不合格资产”并支付相当于“赎回价格”的资金后，“受托人”不应就“赎回”的“不合格资产”要求“委托人”再承担任何责任。“贷款服务机构”应于相应的“回购起算日”日终确定每笔“不合格资产”的“赎回价格”，并在相应的“贷款服务机构报告”中加以说明。</w:t>
      </w:r>
    </w:p>
    <w:p w14:paraId="6461F684">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在收到“委托人”“赎回”“不合格资产”所支付的相当于“赎回价格”的资金后，“受托人”应将收到的前述资金相应记入“收入分账户”和“本金分账户”。</w:t>
      </w:r>
    </w:p>
    <w:p w14:paraId="1D3B2509">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为免疑义，双方同意并确认，截至“回购起算日”【</w:t>
      </w:r>
      <w:r>
        <w:rPr>
          <w:rFonts w:hint="eastAsia" w:ascii="Times New Roman" w:hAnsi="Times New Roman" w:eastAsia="楷体_GB2312"/>
          <w:i/>
          <w:iCs/>
          <w:sz w:val="24"/>
        </w:rPr>
        <w:t>具体时点</w:t>
      </w:r>
      <w:r>
        <w:rPr>
          <w:rFonts w:ascii="Times New Roman" w:hAnsi="Times New Roman" w:eastAsia="楷体_GB2312"/>
          <w:sz w:val="24"/>
        </w:rPr>
        <w:t>】，该“不合格资产”产生的全部“回收款”属于“信托财产”，应视情况分别相应记入“收入分账户”和“本金分账户”。</w:t>
      </w:r>
    </w:p>
    <w:p w14:paraId="01088026">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如果“委托人”对“受托人”的“赎回”要求持有异议，双方可以在“受托人”提出“赎回”要求的</w:t>
      </w:r>
      <w:r>
        <w:rPr>
          <w:rFonts w:ascii="Times New Roman" w:hAnsi="Times New Roman" w:eastAsia="楷体_GB2312"/>
          <w:b/>
          <w:sz w:val="24"/>
        </w:rPr>
        <w:t>【】</w:t>
      </w:r>
      <w:r>
        <w:rPr>
          <w:rFonts w:ascii="Times New Roman" w:hAnsi="Times New Roman" w:eastAsia="楷体_GB2312"/>
          <w:sz w:val="24"/>
        </w:rPr>
        <w:t>日内进行友好协商。如果在该期限内双方无法达成一致意见，任何一方可按本合同第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_Ref111020368 \r \h  \* MERGEFORMAT </w:instrText>
      </w:r>
      <w:r>
        <w:rPr>
          <w:rFonts w:ascii="Times New Roman" w:hAnsi="Times New Roman" w:eastAsia="楷体_GB2312"/>
          <w:sz w:val="24"/>
        </w:rPr>
        <w:fldChar w:fldCharType="separate"/>
      </w:r>
      <w:r>
        <w:rPr>
          <w:rFonts w:ascii="Times New Roman" w:hAnsi="Times New Roman" w:eastAsia="楷体_GB2312"/>
          <w:sz w:val="24"/>
        </w:rPr>
        <w:t>24</w:t>
      </w:r>
      <w:r>
        <w:rPr>
          <w:rFonts w:ascii="Times New Roman" w:hAnsi="Times New Roman" w:eastAsia="楷体_GB2312"/>
          <w:sz w:val="24"/>
        </w:rPr>
        <w:fldChar w:fldCharType="end"/>
      </w:r>
      <w:r>
        <w:rPr>
          <w:rFonts w:ascii="Times New Roman" w:hAnsi="Times New Roman" w:eastAsia="楷体_GB2312"/>
          <w:sz w:val="24"/>
        </w:rPr>
        <w:t>条的约定将争议提交诉讼解决。</w:t>
      </w:r>
    </w:p>
    <w:p w14:paraId="3E28D5EC">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因进行“不合格资产”“赎回”所发生的费用由“委托人”承担。</w:t>
      </w:r>
    </w:p>
    <w:p w14:paraId="3FA38757">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除本合同第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_Ref220487589 \r \h  \* MERGEFORMAT </w:instrText>
      </w:r>
      <w:r>
        <w:rPr>
          <w:rFonts w:ascii="Times New Roman" w:hAnsi="Times New Roman" w:eastAsia="楷体_GB2312"/>
          <w:sz w:val="24"/>
        </w:rPr>
        <w:fldChar w:fldCharType="separate"/>
      </w:r>
      <w:r>
        <w:rPr>
          <w:rFonts w:ascii="Times New Roman" w:hAnsi="Times New Roman" w:eastAsia="楷体_GB2312"/>
          <w:sz w:val="24"/>
        </w:rPr>
        <w:t>4.1.1</w:t>
      </w:r>
      <w:r>
        <w:rPr>
          <w:rFonts w:ascii="Times New Roman" w:hAnsi="Times New Roman" w:eastAsia="楷体_GB2312"/>
          <w:sz w:val="24"/>
        </w:rPr>
        <w:fldChar w:fldCharType="end"/>
      </w:r>
      <w:r>
        <w:rPr>
          <w:rFonts w:ascii="Times New Roman" w:hAnsi="Times New Roman" w:eastAsia="楷体_GB2312"/>
          <w:sz w:val="24"/>
        </w:rPr>
        <w:t>款约定的情形外，“委托人”不对“资产”进行“赎回”。</w:t>
      </w:r>
    </w:p>
    <w:p w14:paraId="7F8BFA48">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赎回的效果</w:t>
      </w:r>
    </w:p>
    <w:p w14:paraId="380D88A7">
      <w:pPr>
        <w:spacing w:before="156" w:beforeLines="50" w:after="156" w:afterLines="50" w:line="360" w:lineRule="auto"/>
        <w:ind w:left="743" w:leftChars="354"/>
        <w:rPr>
          <w:rFonts w:ascii="Times New Roman" w:hAnsi="Times New Roman" w:eastAsia="楷体_GB2312"/>
          <w:sz w:val="24"/>
        </w:rPr>
      </w:pPr>
      <w:r>
        <w:rPr>
          <w:rFonts w:ascii="Times New Roman" w:hAnsi="Times New Roman" w:eastAsia="楷体_GB2312"/>
          <w:sz w:val="24"/>
        </w:rPr>
        <w:t>在“委托人”对“不合格资产”进行“赎回”后，该“不合格资产”不再属于“信托财产”。</w:t>
      </w:r>
    </w:p>
    <w:bookmarkEnd w:id="95"/>
    <w:bookmarkEnd w:id="96"/>
    <w:bookmarkEnd w:id="97"/>
    <w:p w14:paraId="7A40491A">
      <w:pPr>
        <w:numPr>
          <w:ilvl w:val="0"/>
          <w:numId w:val="6"/>
        </w:numPr>
        <w:spacing w:before="156" w:beforeLines="50" w:after="156" w:afterLines="50" w:line="360" w:lineRule="auto"/>
        <w:outlineLvl w:val="0"/>
        <w:rPr>
          <w:rFonts w:ascii="Times New Roman" w:hAnsi="Times New Roman" w:eastAsia="楷体_GB2312"/>
          <w:b/>
          <w:sz w:val="24"/>
        </w:rPr>
      </w:pPr>
      <w:bookmarkStart w:id="103" w:name="_Toc340397380"/>
      <w:bookmarkEnd w:id="103"/>
      <w:bookmarkStart w:id="104" w:name="_Toc340397383"/>
      <w:bookmarkEnd w:id="104"/>
      <w:bookmarkStart w:id="105" w:name="_Toc340397601"/>
      <w:bookmarkEnd w:id="105"/>
      <w:bookmarkStart w:id="106" w:name="_Toc340397141"/>
      <w:bookmarkEnd w:id="106"/>
      <w:bookmarkStart w:id="107" w:name="_Toc340397384"/>
      <w:bookmarkEnd w:id="107"/>
      <w:bookmarkStart w:id="108" w:name="_Toc340397386"/>
      <w:bookmarkEnd w:id="108"/>
      <w:bookmarkStart w:id="109" w:name="_Toc340397983"/>
      <w:bookmarkEnd w:id="109"/>
      <w:bookmarkStart w:id="110" w:name="_Toc340397374"/>
      <w:bookmarkEnd w:id="110"/>
      <w:bookmarkStart w:id="111" w:name="_Toc340397126"/>
      <w:bookmarkEnd w:id="111"/>
      <w:bookmarkStart w:id="112" w:name="_Toc340397984"/>
      <w:bookmarkEnd w:id="112"/>
      <w:bookmarkStart w:id="113" w:name="_Toc340397591"/>
      <w:bookmarkEnd w:id="113"/>
      <w:bookmarkStart w:id="114" w:name="_Toc340397597"/>
      <w:bookmarkEnd w:id="114"/>
      <w:bookmarkStart w:id="115" w:name="_Toc340397985"/>
      <w:bookmarkEnd w:id="115"/>
      <w:bookmarkStart w:id="116" w:name="_Toc340397596"/>
      <w:bookmarkEnd w:id="116"/>
      <w:bookmarkStart w:id="117" w:name="_Toc340397378"/>
      <w:bookmarkEnd w:id="117"/>
      <w:bookmarkStart w:id="118" w:name="_Toc340397599"/>
      <w:bookmarkEnd w:id="118"/>
      <w:bookmarkStart w:id="119" w:name="_Toc340397137"/>
      <w:bookmarkEnd w:id="119"/>
      <w:bookmarkStart w:id="120" w:name="_Toc340397595"/>
      <w:bookmarkEnd w:id="120"/>
      <w:bookmarkStart w:id="121" w:name="_Toc340397139"/>
      <w:bookmarkEnd w:id="121"/>
      <w:bookmarkStart w:id="122" w:name="_Toc340397987"/>
      <w:bookmarkEnd w:id="122"/>
      <w:bookmarkStart w:id="123" w:name="_Toc340397130"/>
      <w:bookmarkEnd w:id="123"/>
      <w:bookmarkStart w:id="124" w:name="_Toc340397980"/>
      <w:bookmarkEnd w:id="124"/>
      <w:bookmarkStart w:id="125" w:name="_Toc340397587"/>
      <w:bookmarkEnd w:id="125"/>
      <w:bookmarkStart w:id="126" w:name="_Toc340397375"/>
      <w:bookmarkEnd w:id="126"/>
      <w:bookmarkStart w:id="127" w:name="_Toc340397982"/>
      <w:bookmarkEnd w:id="127"/>
      <w:bookmarkStart w:id="128" w:name="_Toc340397135"/>
      <w:bookmarkEnd w:id="128"/>
      <w:bookmarkStart w:id="129" w:name="_Toc340397986"/>
      <w:bookmarkEnd w:id="129"/>
      <w:bookmarkStart w:id="130" w:name="_Toc340397600"/>
      <w:bookmarkEnd w:id="130"/>
      <w:bookmarkStart w:id="131" w:name="_Toc340397124"/>
      <w:bookmarkEnd w:id="131"/>
      <w:bookmarkStart w:id="132" w:name="_Toc340397132"/>
      <w:bookmarkEnd w:id="132"/>
      <w:bookmarkStart w:id="133" w:name="_Toc340397602"/>
      <w:bookmarkEnd w:id="133"/>
      <w:bookmarkStart w:id="134" w:name="_Toc340397976"/>
      <w:bookmarkEnd w:id="134"/>
      <w:bookmarkStart w:id="135" w:name="_Toc340397127"/>
      <w:bookmarkEnd w:id="135"/>
      <w:bookmarkStart w:id="136" w:name="_Toc340397594"/>
      <w:bookmarkEnd w:id="136"/>
      <w:bookmarkStart w:id="137" w:name="_Toc340397989"/>
      <w:bookmarkEnd w:id="137"/>
      <w:bookmarkStart w:id="138" w:name="_Toc340397373"/>
      <w:bookmarkEnd w:id="138"/>
      <w:bookmarkStart w:id="139" w:name="_Toc340397387"/>
      <w:bookmarkEnd w:id="139"/>
      <w:bookmarkStart w:id="140" w:name="_Toc340397590"/>
      <w:bookmarkEnd w:id="140"/>
      <w:bookmarkStart w:id="141" w:name="_Toc340397390"/>
      <w:bookmarkEnd w:id="141"/>
      <w:bookmarkStart w:id="142" w:name="_Toc340397382"/>
      <w:bookmarkEnd w:id="142"/>
      <w:bookmarkStart w:id="143" w:name="_Toc340397128"/>
      <w:bookmarkEnd w:id="143"/>
      <w:bookmarkStart w:id="144" w:name="_Toc340397979"/>
      <w:bookmarkEnd w:id="144"/>
      <w:bookmarkStart w:id="145" w:name="_Toc340397975"/>
      <w:bookmarkEnd w:id="145"/>
      <w:bookmarkStart w:id="146" w:name="_Toc340397136"/>
      <w:bookmarkEnd w:id="146"/>
      <w:bookmarkStart w:id="147" w:name="_Toc340397981"/>
      <w:bookmarkEnd w:id="147"/>
      <w:bookmarkStart w:id="148" w:name="_Toc340397978"/>
      <w:bookmarkEnd w:id="148"/>
      <w:bookmarkStart w:id="149" w:name="_Toc340397376"/>
      <w:bookmarkEnd w:id="149"/>
      <w:bookmarkStart w:id="150" w:name="_Toc340397598"/>
      <w:bookmarkEnd w:id="150"/>
      <w:bookmarkStart w:id="151" w:name="_Toc340397588"/>
      <w:bookmarkEnd w:id="151"/>
      <w:bookmarkStart w:id="152" w:name="_Toc340397381"/>
      <w:bookmarkEnd w:id="152"/>
      <w:bookmarkStart w:id="153" w:name="_Toc204497520"/>
      <w:bookmarkEnd w:id="153"/>
      <w:bookmarkStart w:id="154" w:name="_Toc340397589"/>
      <w:bookmarkEnd w:id="154"/>
      <w:bookmarkStart w:id="155" w:name="_Toc340397129"/>
      <w:bookmarkEnd w:id="155"/>
      <w:bookmarkStart w:id="156" w:name="_Toc340397138"/>
      <w:bookmarkEnd w:id="156"/>
      <w:bookmarkStart w:id="157" w:name="_Toc340397977"/>
      <w:bookmarkEnd w:id="157"/>
      <w:bookmarkStart w:id="158" w:name="_Toc340397593"/>
      <w:bookmarkEnd w:id="158"/>
      <w:bookmarkStart w:id="159" w:name="_Toc340397385"/>
      <w:bookmarkEnd w:id="159"/>
      <w:bookmarkStart w:id="160" w:name="_Toc340397988"/>
      <w:bookmarkEnd w:id="160"/>
      <w:bookmarkStart w:id="161" w:name="_Toc340397991"/>
      <w:bookmarkEnd w:id="161"/>
      <w:bookmarkStart w:id="162" w:name="_Toc340397592"/>
      <w:bookmarkEnd w:id="162"/>
      <w:bookmarkStart w:id="163" w:name="_Toc340397389"/>
      <w:bookmarkEnd w:id="163"/>
      <w:bookmarkStart w:id="164" w:name="_Toc340397125"/>
      <w:bookmarkEnd w:id="164"/>
      <w:bookmarkStart w:id="165" w:name="_Toc340397586"/>
      <w:bookmarkEnd w:id="165"/>
      <w:bookmarkStart w:id="166" w:name="_Toc340397140"/>
      <w:bookmarkEnd w:id="166"/>
      <w:bookmarkStart w:id="167" w:name="_Toc340397377"/>
      <w:bookmarkEnd w:id="167"/>
      <w:bookmarkStart w:id="168" w:name="_Toc340397133"/>
      <w:bookmarkEnd w:id="168"/>
      <w:bookmarkStart w:id="169" w:name="_Toc340397974"/>
      <w:bookmarkEnd w:id="169"/>
      <w:bookmarkStart w:id="170" w:name="_Toc340397388"/>
      <w:bookmarkEnd w:id="170"/>
      <w:bookmarkStart w:id="171" w:name="_Toc340397131"/>
      <w:bookmarkEnd w:id="171"/>
      <w:bookmarkStart w:id="172" w:name="_Toc340397585"/>
      <w:bookmarkEnd w:id="172"/>
      <w:bookmarkStart w:id="173" w:name="_Toc340397134"/>
      <w:bookmarkEnd w:id="173"/>
      <w:bookmarkStart w:id="174" w:name="_Toc340397379"/>
      <w:bookmarkEnd w:id="174"/>
      <w:bookmarkStart w:id="175" w:name="_Toc340397990"/>
      <w:bookmarkEnd w:id="175"/>
      <w:bookmarkStart w:id="176" w:name="_Ref204503046"/>
      <w:bookmarkStart w:id="177" w:name="_Toc201490207"/>
      <w:bookmarkStart w:id="178" w:name="_Toc201569386"/>
      <w:bookmarkStart w:id="179" w:name="_Ref340173936"/>
      <w:bookmarkStart w:id="180" w:name="_Toc227694325"/>
      <w:r>
        <w:rPr>
          <w:rFonts w:ascii="Times New Roman" w:hAnsi="Times New Roman" w:eastAsia="楷体_GB2312"/>
          <w:b/>
          <w:sz w:val="24"/>
        </w:rPr>
        <w:t>权利完善通知</w:t>
      </w:r>
      <w:bookmarkEnd w:id="176"/>
      <w:bookmarkEnd w:id="177"/>
      <w:bookmarkEnd w:id="178"/>
      <w:bookmarkEnd w:id="179"/>
      <w:r>
        <w:rPr>
          <w:rFonts w:ascii="Times New Roman" w:hAnsi="Times New Roman" w:eastAsia="楷体_GB2312"/>
          <w:b/>
          <w:sz w:val="24"/>
        </w:rPr>
        <w:t>与抵销、混同的处理</w:t>
      </w:r>
      <w:bookmarkEnd w:id="180"/>
    </w:p>
    <w:p w14:paraId="0F4173DE">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bookmarkStart w:id="181" w:name="_Toc201569388"/>
      <w:bookmarkStart w:id="182" w:name="_Ref201483510"/>
      <w:bookmarkStart w:id="183" w:name="_Ref221481084"/>
      <w:r>
        <w:rPr>
          <w:rFonts w:ascii="Times New Roman" w:hAnsi="Times New Roman" w:eastAsia="楷体_GB2312"/>
          <w:b/>
          <w:sz w:val="24"/>
        </w:rPr>
        <w:t>委托人发送权利完善通知</w:t>
      </w:r>
      <w:bookmarkEnd w:id="181"/>
      <w:bookmarkEnd w:id="182"/>
      <w:bookmarkEnd w:id="183"/>
    </w:p>
    <w:p w14:paraId="5D06C438">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bookmarkStart w:id="184" w:name="_Ref340174043"/>
      <w:r>
        <w:rPr>
          <w:rFonts w:ascii="Times New Roman" w:hAnsi="Times New Roman" w:eastAsia="楷体_GB2312"/>
          <w:sz w:val="24"/>
        </w:rPr>
        <w:t>发生“权利完善事件”之(a)项或(b)项情形后</w:t>
      </w:r>
      <w:r>
        <w:rPr>
          <w:rFonts w:ascii="Times New Roman" w:hAnsi="Times New Roman" w:eastAsia="楷体_GB2312"/>
          <w:b/>
          <w:sz w:val="24"/>
        </w:rPr>
        <w:t>【】</w:t>
      </w:r>
      <w:r>
        <w:rPr>
          <w:rFonts w:ascii="Times New Roman" w:hAnsi="Times New Roman" w:eastAsia="楷体_GB2312"/>
          <w:sz w:val="24"/>
        </w:rPr>
        <w:t>个“工作日”内，“委托人”应以电子邮件或邮寄的方式发出如下“权利完善通知”（格式见本合同</w:t>
      </w:r>
      <w:r>
        <w:rPr>
          <w:rFonts w:ascii="Times New Roman" w:hAnsi="Times New Roman" w:eastAsia="楷体_GB2312"/>
          <w:b/>
          <w:i/>
          <w:sz w:val="24"/>
        </w:rPr>
        <w:t>附件三</w:t>
      </w:r>
      <w:r>
        <w:rPr>
          <w:rFonts w:ascii="Times New Roman" w:hAnsi="Times New Roman" w:eastAsia="楷体_GB2312"/>
          <w:sz w:val="24"/>
        </w:rPr>
        <w:t>），并抄送给“受托人”：</w:t>
      </w:r>
      <w:bookmarkEnd w:id="184"/>
    </w:p>
    <w:p w14:paraId="67A27780">
      <w:pPr>
        <w:numPr>
          <w:ilvl w:val="0"/>
          <w:numId w:val="10"/>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将相关“资产”已设立信托/转让给的事实，通知每一笔“贷款”的“借款人”和“担保人”（如有）；以及</w:t>
      </w:r>
    </w:p>
    <w:p w14:paraId="5ECF5D90">
      <w:pPr>
        <w:numPr>
          <w:ilvl w:val="0"/>
          <w:numId w:val="10"/>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告知“借款人”和“担保人”（如有）自收到“权利完善通知”之日起，将其应支付的款项支付至“信托账户”。</w:t>
      </w:r>
    </w:p>
    <w:p w14:paraId="54454503">
      <w:pPr>
        <w:spacing w:line="360" w:lineRule="auto"/>
        <w:ind w:left="1620"/>
        <w:rPr>
          <w:rFonts w:eastAsia="楷体_GB2312"/>
          <w:b/>
          <w:bCs/>
          <w:i/>
          <w:iCs/>
          <w:color w:val="FF0000"/>
          <w:kern w:val="0"/>
          <w:sz w:val="24"/>
        </w:rPr>
      </w:pPr>
      <w:r>
        <w:rPr>
          <w:rFonts w:hint="eastAsia" w:eastAsia="楷体_GB2312"/>
          <w:b/>
          <w:bCs/>
          <w:i/>
          <w:iCs/>
          <w:color w:val="FF0000"/>
          <w:kern w:val="0"/>
          <w:sz w:val="24"/>
        </w:rPr>
        <w:t>【注：相关款项支付安排可根据具体项目情况调整。】</w:t>
      </w:r>
    </w:p>
    <w:p w14:paraId="00756CEB">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发生“权利完善事件”之(c)项或(d)项情形后的</w:t>
      </w:r>
      <w:r>
        <w:rPr>
          <w:rFonts w:ascii="Times New Roman" w:hAnsi="Times New Roman" w:eastAsia="楷体_GB2312"/>
          <w:b/>
          <w:sz w:val="24"/>
        </w:rPr>
        <w:t>【】</w:t>
      </w:r>
      <w:r>
        <w:rPr>
          <w:rFonts w:ascii="Times New Roman" w:hAnsi="Times New Roman" w:eastAsia="楷体_GB2312"/>
          <w:sz w:val="24"/>
        </w:rPr>
        <w:t>个“工作日”内，“委托人”应以电子邮件或邮寄的方式发出“权利完善通知”，将相关“贷款”及其“附属权益”（如有）已设立/转让给信托的事实，通知每一笔“贷款”的“借款人”和“担保人”（如有），并抄送给“受托人”。</w:t>
      </w:r>
      <w:r>
        <w:rPr>
          <w:rFonts w:ascii="Times New Roman" w:hAnsi="Times New Roman" w:eastAsia="楷体_GB2312"/>
          <w:color w:val="000000"/>
          <w:sz w:val="24"/>
        </w:rPr>
        <w:t>当</w:t>
      </w:r>
      <w:r>
        <w:rPr>
          <w:rFonts w:ascii="Times New Roman" w:hAnsi="Times New Roman" w:eastAsia="楷体_GB2312"/>
          <w:sz w:val="24"/>
        </w:rPr>
        <w:t>“委托人”担任“贷款服务机构时”，发生“权利完善事件”之(c)或(d)项情形的，则按本合同第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_Ref340174043 \r \h  \* MERGEFORMAT </w:instrText>
      </w:r>
      <w:r>
        <w:rPr>
          <w:rFonts w:ascii="Times New Roman" w:hAnsi="Times New Roman" w:eastAsia="楷体_GB2312"/>
          <w:sz w:val="24"/>
        </w:rPr>
        <w:fldChar w:fldCharType="separate"/>
      </w:r>
      <w:r>
        <w:rPr>
          <w:rFonts w:ascii="Times New Roman" w:hAnsi="Times New Roman" w:eastAsia="楷体_GB2312"/>
          <w:sz w:val="24"/>
        </w:rPr>
        <w:t>5.1.1</w:t>
      </w:r>
      <w:r>
        <w:rPr>
          <w:rFonts w:ascii="Times New Roman" w:hAnsi="Times New Roman" w:eastAsia="楷体_GB2312"/>
          <w:sz w:val="24"/>
        </w:rPr>
        <w:fldChar w:fldCharType="end"/>
      </w:r>
      <w:r>
        <w:rPr>
          <w:rFonts w:ascii="Times New Roman" w:hAnsi="Times New Roman" w:eastAsia="楷体_GB2312"/>
          <w:sz w:val="24"/>
        </w:rPr>
        <w:t>款约定执行。</w:t>
      </w:r>
    </w:p>
    <w:p w14:paraId="33E02B45">
      <w:pPr>
        <w:numPr>
          <w:ilvl w:val="2"/>
          <w:numId w:val="6"/>
        </w:numPr>
        <w:tabs>
          <w:tab w:val="left" w:pos="900"/>
        </w:tabs>
        <w:spacing w:before="156" w:beforeLines="50" w:after="156" w:afterLines="50" w:line="360" w:lineRule="auto"/>
        <w:ind w:left="1620" w:hanging="769"/>
        <w:rPr>
          <w:rFonts w:ascii="Times New Roman" w:hAnsi="Times New Roman" w:eastAsia="楷体_GB2312"/>
          <w:i/>
          <w:iCs/>
          <w:color w:val="FF0000"/>
          <w:sz w:val="24"/>
        </w:rPr>
      </w:pPr>
      <w:r>
        <w:rPr>
          <w:rFonts w:ascii="Times New Roman" w:hAnsi="Times New Roman" w:eastAsia="楷体_GB2312"/>
          <w:sz w:val="24"/>
        </w:rPr>
        <w:t>发生“权利完善事件”中的(e)项情形后的</w:t>
      </w:r>
      <w:r>
        <w:rPr>
          <w:rFonts w:ascii="Times New Roman" w:hAnsi="Times New Roman" w:eastAsia="楷体_GB2312"/>
          <w:b/>
          <w:sz w:val="24"/>
        </w:rPr>
        <w:t>【】</w:t>
      </w:r>
      <w:r>
        <w:rPr>
          <w:rFonts w:ascii="Times New Roman" w:hAnsi="Times New Roman" w:eastAsia="楷体_GB2312"/>
          <w:sz w:val="24"/>
        </w:rPr>
        <w:t>个“工作日”内，“委托人”应以电子邮件或邮寄的方式仅向未履行义务的“借款人”、“担保人”（如有）发出“权利完善通知”，将“资产”已设立/转让给信托的事实，通知相关“借款人”、“担保人”（如有），并抄送给“受托人”。“权利完善通知”的格式可以参考本合同</w:t>
      </w:r>
      <w:r>
        <w:rPr>
          <w:rFonts w:hint="eastAsia" w:ascii="Times New Roman" w:hAnsi="Times New Roman" w:eastAsia="楷体_GB2312"/>
          <w:b/>
          <w:bCs/>
          <w:i/>
          <w:iCs/>
          <w:sz w:val="24"/>
        </w:rPr>
        <w:t>附件三</w:t>
      </w:r>
      <w:r>
        <w:rPr>
          <w:rFonts w:eastAsia="楷体_GB2312"/>
          <w:b/>
          <w:bCs/>
          <w:i/>
          <w:iCs/>
          <w:color w:val="FF0000"/>
          <w:sz w:val="24"/>
        </w:rPr>
        <w:t>【注：</w:t>
      </w:r>
      <w:r>
        <w:rPr>
          <w:rFonts w:hint="eastAsia" w:ascii="Times New Roman" w:hAnsi="Times New Roman" w:eastAsia="楷体_GB2312"/>
          <w:b/>
          <w:bCs/>
          <w:i/>
          <w:iCs/>
          <w:color w:val="FF0000"/>
          <w:sz w:val="24"/>
        </w:rPr>
        <w:t>是否同时需要告知</w:t>
      </w:r>
      <w:r>
        <w:rPr>
          <w:rFonts w:ascii="Times New Roman" w:hAnsi="Times New Roman" w:eastAsia="楷体_GB2312"/>
          <w:b/>
          <w:bCs/>
          <w:i/>
          <w:iCs/>
          <w:color w:val="FF0000"/>
          <w:sz w:val="24"/>
        </w:rPr>
        <w:t>“</w:t>
      </w:r>
      <w:r>
        <w:rPr>
          <w:rFonts w:hint="eastAsia" w:ascii="Times New Roman" w:hAnsi="Times New Roman" w:eastAsia="楷体_GB2312"/>
          <w:b/>
          <w:bCs/>
          <w:i/>
          <w:iCs/>
          <w:color w:val="FF0000"/>
          <w:sz w:val="24"/>
        </w:rPr>
        <w:t>义务人</w:t>
      </w:r>
      <w:r>
        <w:rPr>
          <w:rFonts w:ascii="Times New Roman" w:hAnsi="Times New Roman" w:eastAsia="楷体_GB2312"/>
          <w:b/>
          <w:bCs/>
          <w:i/>
          <w:iCs/>
          <w:color w:val="FF0000"/>
          <w:sz w:val="24"/>
        </w:rPr>
        <w:t>”</w:t>
      </w:r>
      <w:r>
        <w:rPr>
          <w:rFonts w:hint="eastAsia" w:ascii="Times New Roman" w:hAnsi="Times New Roman" w:eastAsia="楷体_GB2312"/>
          <w:b/>
          <w:bCs/>
          <w:i/>
          <w:iCs/>
          <w:color w:val="FF0000"/>
          <w:sz w:val="24"/>
        </w:rPr>
        <w:t>自收到</w:t>
      </w:r>
      <w:r>
        <w:rPr>
          <w:rFonts w:ascii="Times New Roman" w:hAnsi="Times New Roman" w:eastAsia="楷体_GB2312"/>
          <w:b/>
          <w:bCs/>
          <w:i/>
          <w:iCs/>
          <w:color w:val="FF0000"/>
          <w:sz w:val="24"/>
        </w:rPr>
        <w:t>“</w:t>
      </w:r>
      <w:r>
        <w:rPr>
          <w:rFonts w:hint="eastAsia" w:ascii="Times New Roman" w:hAnsi="Times New Roman" w:eastAsia="楷体_GB2312"/>
          <w:b/>
          <w:bCs/>
          <w:i/>
          <w:iCs/>
          <w:color w:val="FF0000"/>
          <w:sz w:val="24"/>
        </w:rPr>
        <w:t>权利完善通知</w:t>
      </w:r>
      <w:r>
        <w:rPr>
          <w:rFonts w:ascii="Times New Roman" w:hAnsi="Times New Roman" w:eastAsia="楷体_GB2312"/>
          <w:b/>
          <w:bCs/>
          <w:i/>
          <w:iCs/>
          <w:color w:val="FF0000"/>
          <w:sz w:val="24"/>
        </w:rPr>
        <w:t>”</w:t>
      </w:r>
      <w:r>
        <w:rPr>
          <w:rFonts w:hint="eastAsia" w:ascii="Times New Roman" w:hAnsi="Times New Roman" w:eastAsia="楷体_GB2312"/>
          <w:b/>
          <w:bCs/>
          <w:i/>
          <w:iCs/>
          <w:color w:val="FF0000"/>
          <w:sz w:val="24"/>
        </w:rPr>
        <w:t>之日起，将其应支付的款项支付至</w:t>
      </w:r>
      <w:r>
        <w:rPr>
          <w:rFonts w:ascii="Times New Roman" w:hAnsi="Times New Roman" w:eastAsia="楷体_GB2312"/>
          <w:b/>
          <w:bCs/>
          <w:i/>
          <w:iCs/>
          <w:color w:val="FF0000"/>
          <w:sz w:val="24"/>
        </w:rPr>
        <w:t>“</w:t>
      </w:r>
      <w:r>
        <w:rPr>
          <w:rFonts w:hint="eastAsia" w:ascii="Times New Roman" w:hAnsi="Times New Roman" w:eastAsia="楷体_GB2312"/>
          <w:b/>
          <w:bCs/>
          <w:i/>
          <w:iCs/>
          <w:color w:val="FF0000"/>
          <w:sz w:val="24"/>
        </w:rPr>
        <w:t>信托账户</w:t>
      </w:r>
      <w:r>
        <w:rPr>
          <w:rFonts w:ascii="Times New Roman" w:hAnsi="Times New Roman" w:eastAsia="楷体_GB2312"/>
          <w:b/>
          <w:bCs/>
          <w:i/>
          <w:iCs/>
          <w:color w:val="FF0000"/>
          <w:sz w:val="24"/>
        </w:rPr>
        <w:t>”</w:t>
      </w:r>
      <w:r>
        <w:rPr>
          <w:rFonts w:hint="eastAsia" w:ascii="Times New Roman" w:hAnsi="Times New Roman" w:eastAsia="楷体_GB2312"/>
          <w:b/>
          <w:bCs/>
          <w:i/>
          <w:iCs/>
          <w:color w:val="FF0000"/>
          <w:sz w:val="24"/>
        </w:rPr>
        <w:t>，可根据实际情况进行必要调整。】</w:t>
      </w:r>
      <w:r>
        <w:rPr>
          <w:rFonts w:hint="eastAsia" w:ascii="Times New Roman" w:hAnsi="Times New Roman" w:eastAsia="楷体_GB2312"/>
          <w:i/>
          <w:iCs/>
          <w:color w:val="FF0000"/>
          <w:sz w:val="24"/>
        </w:rPr>
        <w:t>。</w:t>
      </w:r>
    </w:p>
    <w:p w14:paraId="39E8BCE0">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“受托人”或“委托人”根据相关“中国”“法律”的规定或“资产”的届时状况和回收需要，有权要求“委托人”或“受托人”自行向相应的“义务人”发送“权利完善通知”</w:t>
      </w:r>
      <w:r>
        <w:rPr>
          <w:rFonts w:ascii="Times New Roman" w:hAnsi="Times New Roman" w:eastAsia="楷体_GB2312"/>
          <w:color w:val="000000"/>
          <w:kern w:val="0"/>
          <w:sz w:val="24"/>
        </w:rPr>
        <w:t>，具体方式与内容可按最有利于回收“资产</w:t>
      </w:r>
      <w:r>
        <w:rPr>
          <w:rFonts w:ascii="Times New Roman" w:hAnsi="Times New Roman" w:eastAsia="楷体_GB2312"/>
          <w:sz w:val="24"/>
        </w:rPr>
        <w:t>”</w:t>
      </w:r>
      <w:r>
        <w:rPr>
          <w:rFonts w:ascii="Times New Roman" w:hAnsi="Times New Roman" w:eastAsia="楷体_GB2312"/>
          <w:color w:val="000000"/>
          <w:kern w:val="0"/>
          <w:sz w:val="24"/>
        </w:rPr>
        <w:t>的原则予以确定。</w:t>
      </w:r>
    </w:p>
    <w:p w14:paraId="30A2B54E">
      <w:pPr>
        <w:tabs>
          <w:tab w:val="left" w:pos="900"/>
        </w:tabs>
        <w:spacing w:before="156" w:beforeLines="50" w:after="156" w:afterLines="50" w:line="360" w:lineRule="auto"/>
        <w:ind w:left="1620"/>
        <w:rPr>
          <w:rFonts w:eastAsia="楷体_GB2312"/>
          <w:b/>
          <w:bCs/>
          <w:i/>
          <w:iCs/>
          <w:color w:val="FF0000"/>
          <w:sz w:val="24"/>
        </w:rPr>
      </w:pPr>
      <w:r>
        <w:rPr>
          <w:rFonts w:eastAsia="楷体_GB2312"/>
          <w:b/>
          <w:bCs/>
          <w:i/>
          <w:iCs/>
          <w:color w:val="FF0000"/>
          <w:sz w:val="24"/>
        </w:rPr>
        <w:t>【注：</w:t>
      </w:r>
      <w:bookmarkStart w:id="185" w:name="_Hlk221450192"/>
      <w:r>
        <w:rPr>
          <w:rFonts w:eastAsia="楷体_GB2312"/>
          <w:b/>
          <w:bCs/>
          <w:i/>
          <w:iCs/>
          <w:color w:val="FF0000"/>
          <w:sz w:val="24"/>
        </w:rPr>
        <w:t>权利完善事件</w:t>
      </w:r>
      <w:r>
        <w:rPr>
          <w:rFonts w:hint="eastAsia" w:eastAsia="楷体_GB2312"/>
          <w:b/>
          <w:bCs/>
          <w:i/>
          <w:iCs/>
          <w:color w:val="FF0000"/>
          <w:sz w:val="24"/>
        </w:rPr>
        <w:t>/个别通知事件市场主体采取的表述方式多样，</w:t>
      </w:r>
      <w:r>
        <w:rPr>
          <w:rFonts w:eastAsia="楷体_GB2312"/>
          <w:b/>
          <w:bCs/>
          <w:i/>
          <w:iCs/>
          <w:color w:val="FF0000"/>
          <w:kern w:val="0"/>
          <w:sz w:val="24"/>
        </w:rPr>
        <w:t>具体权利完善事件</w:t>
      </w:r>
      <w:r>
        <w:rPr>
          <w:rFonts w:hint="eastAsia" w:eastAsia="楷体_GB2312"/>
          <w:b/>
          <w:bCs/>
          <w:i/>
          <w:iCs/>
          <w:color w:val="FF0000"/>
          <w:kern w:val="0"/>
          <w:sz w:val="24"/>
        </w:rPr>
        <w:t>以及该等事件发生后</w:t>
      </w:r>
      <w:r>
        <w:rPr>
          <w:rFonts w:eastAsia="楷体_GB2312"/>
          <w:b/>
          <w:bCs/>
          <w:i/>
          <w:iCs/>
          <w:color w:val="FF0000"/>
          <w:kern w:val="0"/>
          <w:sz w:val="24"/>
        </w:rPr>
        <w:t>的</w:t>
      </w:r>
      <w:r>
        <w:rPr>
          <w:rFonts w:hint="eastAsia" w:eastAsia="楷体_GB2312"/>
          <w:b/>
          <w:bCs/>
          <w:i/>
          <w:iCs/>
          <w:color w:val="FF0000"/>
          <w:kern w:val="0"/>
          <w:sz w:val="24"/>
        </w:rPr>
        <w:t>法律后果均</w:t>
      </w:r>
      <w:r>
        <w:rPr>
          <w:rFonts w:eastAsia="楷体_GB2312"/>
          <w:b/>
          <w:bCs/>
          <w:i/>
          <w:iCs/>
          <w:color w:val="FF0000"/>
          <w:kern w:val="0"/>
          <w:sz w:val="24"/>
        </w:rPr>
        <w:t>可结合项目实际需要而予以调整</w:t>
      </w:r>
      <w:r>
        <w:rPr>
          <w:rFonts w:hint="eastAsia" w:eastAsia="楷体_GB2312"/>
          <w:b/>
          <w:bCs/>
          <w:i/>
          <w:iCs/>
          <w:color w:val="FF0000"/>
          <w:kern w:val="0"/>
          <w:sz w:val="24"/>
        </w:rPr>
        <w:t>，注意</w:t>
      </w:r>
      <w:r>
        <w:rPr>
          <w:rFonts w:eastAsia="楷体_GB2312"/>
          <w:b/>
          <w:bCs/>
          <w:i/>
          <w:iCs/>
          <w:color w:val="FF0000"/>
          <w:kern w:val="0"/>
          <w:sz w:val="24"/>
        </w:rPr>
        <w:t>与</w:t>
      </w:r>
      <w:r>
        <w:rPr>
          <w:rFonts w:hint="eastAsia" w:eastAsia="楷体_GB2312"/>
          <w:b/>
          <w:bCs/>
          <w:i/>
          <w:iCs/>
          <w:color w:val="FF0000"/>
          <w:kern w:val="0"/>
          <w:sz w:val="24"/>
        </w:rPr>
        <w:t>相关条款</w:t>
      </w:r>
      <w:r>
        <w:rPr>
          <w:rFonts w:eastAsia="楷体_GB2312"/>
          <w:b/>
          <w:bCs/>
          <w:i/>
          <w:iCs/>
          <w:color w:val="FF0000"/>
          <w:kern w:val="0"/>
          <w:sz w:val="24"/>
        </w:rPr>
        <w:t>约定相匹配即可</w:t>
      </w:r>
      <w:r>
        <w:rPr>
          <w:rFonts w:hint="eastAsia" w:eastAsia="楷体_GB2312"/>
          <w:b/>
          <w:bCs/>
          <w:i/>
          <w:iCs/>
          <w:color w:val="FF0000"/>
          <w:sz w:val="24"/>
        </w:rPr>
        <w:t>。</w:t>
      </w:r>
      <w:bookmarkEnd w:id="185"/>
      <w:r>
        <w:rPr>
          <w:rFonts w:eastAsia="楷体_GB2312"/>
          <w:b/>
          <w:bCs/>
          <w:i/>
          <w:iCs/>
          <w:color w:val="FF0000"/>
          <w:sz w:val="24"/>
        </w:rPr>
        <w:t>】</w:t>
      </w:r>
    </w:p>
    <w:p w14:paraId="6D123DE9">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bookmarkStart w:id="186" w:name="_Ref204489624"/>
      <w:bookmarkStart w:id="187" w:name="_Ref340409424"/>
      <w:bookmarkStart w:id="188" w:name="_Toc201569389"/>
      <w:bookmarkStart w:id="189" w:name="_Ref201652377"/>
      <w:r>
        <w:rPr>
          <w:rFonts w:ascii="Times New Roman" w:hAnsi="Times New Roman" w:eastAsia="楷体_GB2312"/>
          <w:b/>
          <w:sz w:val="24"/>
        </w:rPr>
        <w:t>受托人代为发送权利完善通知</w:t>
      </w:r>
      <w:bookmarkEnd w:id="186"/>
      <w:bookmarkEnd w:id="187"/>
      <w:bookmarkEnd w:id="188"/>
      <w:bookmarkEnd w:id="189"/>
    </w:p>
    <w:p w14:paraId="6FDE05E8">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“委托人”应于“信托设立日”或之前向“受托人”出具不可撤销的“授权书”（格式见本合同</w:t>
      </w:r>
      <w:r>
        <w:rPr>
          <w:rFonts w:ascii="Times New Roman" w:hAnsi="Times New Roman" w:eastAsia="楷体_GB2312"/>
          <w:b/>
          <w:i/>
          <w:sz w:val="24"/>
        </w:rPr>
        <w:t>附件四</w:t>
      </w:r>
      <w:r>
        <w:rPr>
          <w:rFonts w:ascii="Times New Roman" w:hAnsi="Times New Roman" w:eastAsia="楷体_GB2312"/>
          <w:sz w:val="24"/>
        </w:rPr>
        <w:t>），授权“受托人”以“委托人”的名义，在发生“权利完善事件”且“委托人”不履行发送“权利完善通知”的义务时，代为发送“权利完善通知”。</w:t>
      </w:r>
    </w:p>
    <w:p w14:paraId="339595A2">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bookmarkStart w:id="190" w:name="_Ref339985248"/>
      <w:r>
        <w:rPr>
          <w:rFonts w:ascii="Times New Roman" w:hAnsi="Times New Roman" w:eastAsia="楷体_GB2312"/>
          <w:sz w:val="24"/>
        </w:rPr>
        <w:t>如果“委托人”在发生“权利完善事件”后未按照本合同第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_Ref201483510 \r \h  \* MERGEFORMAT </w:instrText>
      </w:r>
      <w:r>
        <w:rPr>
          <w:rFonts w:ascii="Times New Roman" w:hAnsi="Times New Roman" w:eastAsia="楷体_GB2312"/>
          <w:sz w:val="24"/>
        </w:rPr>
        <w:fldChar w:fldCharType="separate"/>
      </w:r>
      <w:r>
        <w:rPr>
          <w:rFonts w:ascii="Times New Roman" w:hAnsi="Times New Roman" w:eastAsia="楷体_GB2312"/>
          <w:sz w:val="24"/>
        </w:rPr>
        <w:t>5.1</w:t>
      </w:r>
      <w:r>
        <w:rPr>
          <w:rFonts w:ascii="Times New Roman" w:hAnsi="Times New Roman" w:eastAsia="楷体_GB2312"/>
          <w:sz w:val="24"/>
        </w:rPr>
        <w:fldChar w:fldCharType="end"/>
      </w:r>
      <w:r>
        <w:rPr>
          <w:rFonts w:ascii="Times New Roman" w:hAnsi="Times New Roman" w:eastAsia="楷体_GB2312"/>
          <w:sz w:val="24"/>
        </w:rPr>
        <w:t>款的约定发送“权利完善通知”，则“受托人”应在“委托人”按照本合同第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_Ref201483510 \r \h  \* MERGEFORMAT </w:instrText>
      </w:r>
      <w:r>
        <w:rPr>
          <w:rFonts w:ascii="Times New Roman" w:hAnsi="Times New Roman" w:eastAsia="楷体_GB2312"/>
          <w:sz w:val="24"/>
        </w:rPr>
        <w:fldChar w:fldCharType="separate"/>
      </w:r>
      <w:r>
        <w:rPr>
          <w:rFonts w:ascii="Times New Roman" w:hAnsi="Times New Roman" w:eastAsia="楷体_GB2312"/>
          <w:sz w:val="24"/>
        </w:rPr>
        <w:t>5.1</w:t>
      </w:r>
      <w:r>
        <w:rPr>
          <w:rFonts w:ascii="Times New Roman" w:hAnsi="Times New Roman" w:eastAsia="楷体_GB2312"/>
          <w:sz w:val="24"/>
        </w:rPr>
        <w:fldChar w:fldCharType="end"/>
      </w:r>
      <w:r>
        <w:rPr>
          <w:rFonts w:ascii="Times New Roman" w:hAnsi="Times New Roman" w:eastAsia="楷体_GB2312"/>
          <w:sz w:val="24"/>
        </w:rPr>
        <w:t>款的约定本应发送“权利完善通知”之日或知晓之日（以较晚的为准）后的</w:t>
      </w:r>
      <w:r>
        <w:rPr>
          <w:rFonts w:ascii="Times New Roman" w:hAnsi="Times New Roman" w:eastAsia="楷体_GB2312"/>
          <w:b/>
          <w:sz w:val="24"/>
        </w:rPr>
        <w:t>【】</w:t>
      </w:r>
      <w:r>
        <w:rPr>
          <w:rFonts w:ascii="Times New Roman" w:hAnsi="Times New Roman" w:eastAsia="楷体_GB2312"/>
          <w:sz w:val="24"/>
        </w:rPr>
        <w:t>个“工作日”内，按照本合同第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_Ref201483510 \r \h  \* MERGEFORMAT </w:instrText>
      </w:r>
      <w:r>
        <w:rPr>
          <w:rFonts w:ascii="Times New Roman" w:hAnsi="Times New Roman" w:eastAsia="楷体_GB2312"/>
          <w:sz w:val="24"/>
        </w:rPr>
        <w:fldChar w:fldCharType="separate"/>
      </w:r>
      <w:r>
        <w:rPr>
          <w:rFonts w:ascii="Times New Roman" w:hAnsi="Times New Roman" w:eastAsia="楷体_GB2312"/>
          <w:sz w:val="24"/>
        </w:rPr>
        <w:t>5.1</w:t>
      </w:r>
      <w:r>
        <w:rPr>
          <w:rFonts w:ascii="Times New Roman" w:hAnsi="Times New Roman" w:eastAsia="楷体_GB2312"/>
          <w:sz w:val="24"/>
        </w:rPr>
        <w:fldChar w:fldCharType="end"/>
      </w:r>
      <w:r>
        <w:rPr>
          <w:rFonts w:ascii="Times New Roman" w:hAnsi="Times New Roman" w:eastAsia="楷体_GB2312"/>
          <w:sz w:val="24"/>
        </w:rPr>
        <w:t>款的约定，代表“委托人”发送“权利完善通知”，并抄送给“委托人”。</w:t>
      </w:r>
      <w:bookmarkEnd w:id="190"/>
    </w:p>
    <w:p w14:paraId="0C9A478A">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bookmarkStart w:id="191" w:name="_Toc201569390"/>
      <w:r>
        <w:rPr>
          <w:rFonts w:ascii="Times New Roman" w:hAnsi="Times New Roman" w:eastAsia="楷体_GB2312"/>
          <w:b/>
          <w:sz w:val="24"/>
        </w:rPr>
        <w:t>发送权利完善通知的费用</w:t>
      </w:r>
      <w:bookmarkEnd w:id="191"/>
    </w:p>
    <w:p w14:paraId="15B72AE3">
      <w:pPr>
        <w:spacing w:before="156" w:beforeLines="50" w:after="156" w:afterLines="50" w:line="360" w:lineRule="auto"/>
        <w:ind w:left="992"/>
        <w:rPr>
          <w:rFonts w:ascii="Times New Roman" w:hAnsi="Times New Roman" w:eastAsia="楷体_GB2312"/>
          <w:sz w:val="24"/>
        </w:rPr>
      </w:pPr>
      <w:r>
        <w:rPr>
          <w:rFonts w:ascii="Times New Roman" w:hAnsi="Times New Roman" w:eastAsia="楷体_GB2312"/>
          <w:sz w:val="24"/>
        </w:rPr>
        <w:t>“委托人”按照本合同的约定发送“权利完善通知”所发生的费用应由“委托人”自行承担。“受托人”按照本合同的约定代为发送“权利完善通知”所发生的费用按照本合同第</w:t>
      </w:r>
      <w:r>
        <w:rPr>
          <w:rFonts w:ascii="Times New Roman" w:hAnsi="Times New Roman" w:eastAsia="楷体_GB2312"/>
          <w:sz w:val="24"/>
        </w:rPr>
        <w:fldChar w:fldCharType="begin"/>
      </w:r>
      <w:r>
        <w:rPr>
          <w:rFonts w:ascii="Times New Roman" w:hAnsi="Times New Roman" w:eastAsia="楷体_GB2312"/>
          <w:sz w:val="24"/>
        </w:rPr>
        <w:instrText xml:space="preserve">REF _Ref201563930 \r \h \* MERGEFORMAT </w:instrText>
      </w:r>
      <w:r>
        <w:rPr>
          <w:rFonts w:ascii="Times New Roman" w:hAnsi="Times New Roman" w:eastAsia="楷体_GB2312"/>
          <w:sz w:val="24"/>
        </w:rPr>
        <w:fldChar w:fldCharType="separate"/>
      </w:r>
      <w:r>
        <w:rPr>
          <w:rFonts w:ascii="Times New Roman" w:hAnsi="Times New Roman" w:eastAsia="楷体_GB2312"/>
          <w:sz w:val="24"/>
        </w:rPr>
        <w:t>11</w:t>
      </w:r>
      <w:r>
        <w:rPr>
          <w:rFonts w:ascii="Times New Roman" w:hAnsi="Times New Roman" w:eastAsia="楷体_GB2312"/>
          <w:sz w:val="24"/>
        </w:rPr>
        <w:fldChar w:fldCharType="end"/>
      </w:r>
      <w:r>
        <w:rPr>
          <w:rFonts w:ascii="Times New Roman" w:hAnsi="Times New Roman" w:eastAsia="楷体_GB2312"/>
          <w:sz w:val="24"/>
        </w:rPr>
        <w:t>条的约定由“信托财产”垫付，并由“受托人”向“委托人”追偿，偿还款项归入“信托财产”；“信托财产”不足时，“受托人”先以固有财产垫付前述费用的，“受托人”可以按照本合同第</w:t>
      </w:r>
      <w:r>
        <w:rPr>
          <w:rFonts w:ascii="Times New Roman" w:hAnsi="Times New Roman" w:eastAsia="楷体_GB2312"/>
          <w:sz w:val="24"/>
        </w:rPr>
        <w:fldChar w:fldCharType="begin"/>
      </w:r>
      <w:r>
        <w:rPr>
          <w:rFonts w:ascii="Times New Roman" w:hAnsi="Times New Roman" w:eastAsia="楷体_GB2312"/>
          <w:sz w:val="24"/>
        </w:rPr>
        <w:instrText xml:space="preserve">REF _Ref201563930 \r \h \* MERGEFORMAT </w:instrText>
      </w:r>
      <w:r>
        <w:rPr>
          <w:rFonts w:ascii="Times New Roman" w:hAnsi="Times New Roman" w:eastAsia="楷体_GB2312"/>
          <w:sz w:val="24"/>
        </w:rPr>
        <w:fldChar w:fldCharType="separate"/>
      </w:r>
      <w:r>
        <w:rPr>
          <w:rFonts w:ascii="Times New Roman" w:hAnsi="Times New Roman" w:eastAsia="楷体_GB2312"/>
          <w:sz w:val="24"/>
        </w:rPr>
        <w:t>11</w:t>
      </w:r>
      <w:r>
        <w:rPr>
          <w:rFonts w:ascii="Times New Roman" w:hAnsi="Times New Roman" w:eastAsia="楷体_GB2312"/>
          <w:sz w:val="24"/>
        </w:rPr>
        <w:fldChar w:fldCharType="end"/>
      </w:r>
      <w:r>
        <w:rPr>
          <w:rFonts w:ascii="Times New Roman" w:hAnsi="Times New Roman" w:eastAsia="楷体_GB2312"/>
          <w:sz w:val="24"/>
        </w:rPr>
        <w:t>条的约定由“信托财产”偿还，并由“受托人”向“委托人”追偿。</w:t>
      </w:r>
    </w:p>
    <w:p w14:paraId="2EF51152">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bookmarkStart w:id="192" w:name="_Toc201569391"/>
      <w:r>
        <w:rPr>
          <w:rFonts w:ascii="Times New Roman" w:hAnsi="Times New Roman" w:eastAsia="楷体_GB2312"/>
          <w:b/>
          <w:sz w:val="24"/>
        </w:rPr>
        <w:t>抵销的处理</w:t>
      </w:r>
      <w:bookmarkEnd w:id="192"/>
    </w:p>
    <w:p w14:paraId="0AA63BE0">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如果“借款人”依据“中国”“法律”行使抵销权且被抵销债权属于“委托人”已交付设立“信托”的“信托财产”，则“委托人”应无时滞地将相当于被抵销款项的资金全额支付给“贷款服务机构”，作为“借款人”偿还的相应数额的还款，并同时通知“受托人”。</w:t>
      </w:r>
    </w:p>
    <w:p w14:paraId="2653C5FC">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如果“委托人”对“借款人”有多笔债权，且“借款人”依据“中国”“法律”行使抵销权，“借款人”未声明其具体抵销债权的，则“委托人”应与“借款人”确认被抵销债权是否属于“信托财产”并向“受托人”提供相关证明。如果被抵销债权属于“委托人”已交付设立“信托”的“信托财产”，则“委托人”应按照前款约定履行义务。</w:t>
      </w:r>
    </w:p>
    <w:p w14:paraId="76DF2491">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抵销风险持续监控</w:t>
      </w:r>
    </w:p>
    <w:p w14:paraId="698ACE93">
      <w:pPr>
        <w:spacing w:before="156" w:beforeLines="50" w:after="156" w:afterLines="50" w:line="360" w:lineRule="auto"/>
        <w:ind w:left="958" w:leftChars="456"/>
        <w:rPr>
          <w:rFonts w:ascii="Times New Roman" w:hAnsi="Times New Roman" w:eastAsia="楷体_GB2312"/>
          <w:sz w:val="24"/>
        </w:rPr>
      </w:pPr>
      <w:r>
        <w:rPr>
          <w:rFonts w:ascii="Times New Roman" w:hAnsi="Times New Roman" w:eastAsia="楷体_GB2312"/>
          <w:sz w:val="24"/>
        </w:rPr>
        <w:t>自发生“权利完善事件”之【(c)项或(d)】项情形之日起，“委托人”应对“借款人”在“委托人”处的存款（包括但不限于活期存款、定期存款等）数额进行持续统计和记录，并应于每个“回收款转付日”之前将该等统计和记录结果提供给“受托人”和“评级机构”。</w:t>
      </w:r>
    </w:p>
    <w:p w14:paraId="0D23E001">
      <w:pPr>
        <w:numPr>
          <w:ilvl w:val="0"/>
          <w:numId w:val="6"/>
        </w:numPr>
        <w:spacing w:before="156" w:beforeLines="50" w:after="156" w:afterLines="50" w:line="360" w:lineRule="auto"/>
        <w:outlineLvl w:val="0"/>
        <w:rPr>
          <w:rFonts w:ascii="Times New Roman" w:hAnsi="Times New Roman" w:eastAsia="楷体_GB2312"/>
          <w:bCs/>
          <w:sz w:val="24"/>
        </w:rPr>
      </w:pPr>
      <w:bookmarkStart w:id="193" w:name="_DV_M422"/>
      <w:bookmarkEnd w:id="193"/>
      <w:bookmarkStart w:id="194" w:name="_DV_M407"/>
      <w:bookmarkEnd w:id="194"/>
      <w:bookmarkStart w:id="195" w:name="_DV_M405"/>
      <w:bookmarkEnd w:id="195"/>
      <w:bookmarkStart w:id="196" w:name="_Toc148384202"/>
      <w:bookmarkEnd w:id="196"/>
      <w:bookmarkStart w:id="197" w:name="_DV_M432"/>
      <w:bookmarkEnd w:id="197"/>
      <w:bookmarkStart w:id="198" w:name="_Toc204497522"/>
      <w:bookmarkEnd w:id="198"/>
      <w:bookmarkStart w:id="199" w:name="_Toc148384189"/>
      <w:bookmarkEnd w:id="199"/>
      <w:bookmarkStart w:id="200" w:name="_DV_M450"/>
      <w:bookmarkEnd w:id="200"/>
      <w:bookmarkStart w:id="201" w:name="_DV_M416"/>
      <w:bookmarkEnd w:id="201"/>
      <w:bookmarkStart w:id="202" w:name="_Toc148384198"/>
      <w:bookmarkEnd w:id="202"/>
      <w:bookmarkStart w:id="203" w:name="_Toc148384194"/>
      <w:bookmarkEnd w:id="203"/>
      <w:bookmarkStart w:id="204" w:name="_DV_M409"/>
      <w:bookmarkEnd w:id="204"/>
      <w:bookmarkStart w:id="205" w:name="_DV_M455"/>
      <w:bookmarkEnd w:id="205"/>
      <w:bookmarkStart w:id="206" w:name="_Toc148440782"/>
      <w:bookmarkEnd w:id="206"/>
      <w:bookmarkStart w:id="207" w:name="_Toc148440792"/>
      <w:bookmarkEnd w:id="207"/>
      <w:bookmarkStart w:id="208" w:name="_Toc146989567"/>
      <w:bookmarkEnd w:id="208"/>
      <w:bookmarkStart w:id="209" w:name="_Toc148440783"/>
      <w:bookmarkEnd w:id="209"/>
      <w:bookmarkStart w:id="210" w:name="_Toc148440784"/>
      <w:bookmarkEnd w:id="210"/>
      <w:bookmarkStart w:id="211" w:name="_Toc148384204"/>
      <w:bookmarkEnd w:id="211"/>
      <w:bookmarkStart w:id="212" w:name="_Toc148440781"/>
      <w:bookmarkEnd w:id="212"/>
      <w:bookmarkStart w:id="213" w:name="_DV_M454"/>
      <w:bookmarkEnd w:id="213"/>
      <w:bookmarkStart w:id="214" w:name="_DV_M408"/>
      <w:bookmarkEnd w:id="214"/>
      <w:bookmarkStart w:id="215" w:name="_DV_M412"/>
      <w:bookmarkEnd w:id="215"/>
      <w:bookmarkStart w:id="216" w:name="_Toc148440779"/>
      <w:bookmarkEnd w:id="216"/>
      <w:bookmarkStart w:id="217" w:name="_DV_M410"/>
      <w:bookmarkEnd w:id="217"/>
      <w:bookmarkStart w:id="218" w:name="_DV_M430"/>
      <w:bookmarkEnd w:id="218"/>
      <w:bookmarkStart w:id="219" w:name="_DV_M411"/>
      <w:bookmarkEnd w:id="219"/>
      <w:bookmarkStart w:id="220" w:name="_DV_M419"/>
      <w:bookmarkEnd w:id="220"/>
      <w:bookmarkStart w:id="221" w:name="_Toc148384196"/>
      <w:bookmarkEnd w:id="221"/>
      <w:bookmarkStart w:id="222" w:name="_Toc148384205"/>
      <w:bookmarkEnd w:id="222"/>
      <w:bookmarkStart w:id="223" w:name="_DV_M437"/>
      <w:bookmarkEnd w:id="223"/>
      <w:bookmarkStart w:id="224" w:name="_DV_M413"/>
      <w:bookmarkEnd w:id="224"/>
      <w:bookmarkStart w:id="225" w:name="_Toc148384190"/>
      <w:bookmarkEnd w:id="225"/>
      <w:bookmarkStart w:id="226" w:name="_DV_M425"/>
      <w:bookmarkEnd w:id="226"/>
      <w:bookmarkStart w:id="227" w:name="_Toc146989568"/>
      <w:bookmarkEnd w:id="227"/>
      <w:bookmarkStart w:id="228" w:name="_DV_M431"/>
      <w:bookmarkEnd w:id="228"/>
      <w:bookmarkStart w:id="229" w:name="_DV_M406"/>
      <w:bookmarkEnd w:id="229"/>
      <w:bookmarkStart w:id="230" w:name="_Toc148440780"/>
      <w:bookmarkEnd w:id="230"/>
      <w:bookmarkStart w:id="231" w:name="_Toc146989572"/>
      <w:bookmarkEnd w:id="231"/>
      <w:bookmarkStart w:id="232" w:name="_Toc148384203"/>
      <w:bookmarkEnd w:id="232"/>
      <w:bookmarkStart w:id="233" w:name="_DV_M436"/>
      <w:bookmarkEnd w:id="233"/>
      <w:bookmarkStart w:id="234" w:name="_Toc148440786"/>
      <w:bookmarkEnd w:id="234"/>
      <w:bookmarkStart w:id="235" w:name="_DV_M417"/>
      <w:bookmarkEnd w:id="235"/>
      <w:bookmarkStart w:id="236" w:name="_Toc148384201"/>
      <w:bookmarkEnd w:id="236"/>
      <w:bookmarkStart w:id="237" w:name="_Toc148384191"/>
      <w:bookmarkEnd w:id="237"/>
      <w:bookmarkStart w:id="238" w:name="_Toc148440785"/>
      <w:bookmarkEnd w:id="238"/>
      <w:bookmarkStart w:id="239" w:name="_Toc148440788"/>
      <w:bookmarkEnd w:id="239"/>
      <w:bookmarkStart w:id="240" w:name="_DV_M421"/>
      <w:bookmarkEnd w:id="240"/>
      <w:bookmarkStart w:id="241" w:name="_Toc148384195"/>
      <w:bookmarkEnd w:id="241"/>
      <w:bookmarkStart w:id="242" w:name="_DV_M451"/>
      <w:bookmarkEnd w:id="242"/>
      <w:bookmarkStart w:id="243" w:name="_Toc148384197"/>
      <w:bookmarkEnd w:id="243"/>
      <w:bookmarkStart w:id="244" w:name="_DV_M418"/>
      <w:bookmarkEnd w:id="244"/>
      <w:bookmarkStart w:id="245" w:name="_Toc148384193"/>
      <w:bookmarkEnd w:id="245"/>
      <w:bookmarkStart w:id="246" w:name="_DV_M427"/>
      <w:bookmarkEnd w:id="246"/>
      <w:bookmarkStart w:id="247" w:name="_DV_M415"/>
      <w:bookmarkEnd w:id="247"/>
      <w:bookmarkStart w:id="248" w:name="_DV_M452"/>
      <w:bookmarkEnd w:id="248"/>
      <w:bookmarkStart w:id="249" w:name="_Toc148440794"/>
      <w:bookmarkEnd w:id="249"/>
      <w:bookmarkStart w:id="250" w:name="_Toc146349244"/>
      <w:bookmarkEnd w:id="250"/>
      <w:bookmarkStart w:id="251" w:name="_DV_M428"/>
      <w:bookmarkEnd w:id="251"/>
      <w:bookmarkStart w:id="252" w:name="_Toc148440777"/>
      <w:bookmarkEnd w:id="252"/>
      <w:bookmarkStart w:id="253" w:name="_Toc148384192"/>
      <w:bookmarkEnd w:id="253"/>
      <w:bookmarkStart w:id="254" w:name="_DV_M453"/>
      <w:bookmarkEnd w:id="254"/>
      <w:bookmarkStart w:id="255" w:name="_DV_M426"/>
      <w:bookmarkEnd w:id="255"/>
      <w:bookmarkStart w:id="256" w:name="_DV_M404"/>
      <w:bookmarkEnd w:id="256"/>
      <w:bookmarkStart w:id="257" w:name="_DV_M414"/>
      <w:bookmarkEnd w:id="257"/>
      <w:bookmarkStart w:id="258" w:name="_Toc148440793"/>
      <w:bookmarkEnd w:id="258"/>
      <w:bookmarkStart w:id="259" w:name="_Toc148384200"/>
      <w:bookmarkEnd w:id="259"/>
      <w:bookmarkStart w:id="260" w:name="_Toc148440790"/>
      <w:bookmarkEnd w:id="260"/>
      <w:bookmarkStart w:id="261" w:name="_DV_M420"/>
      <w:bookmarkEnd w:id="261"/>
      <w:bookmarkStart w:id="262" w:name="_Toc148384187"/>
      <w:bookmarkEnd w:id="262"/>
      <w:bookmarkStart w:id="263" w:name="_DV_M423"/>
      <w:bookmarkEnd w:id="263"/>
      <w:bookmarkStart w:id="264" w:name="_DV_M429"/>
      <w:bookmarkEnd w:id="264"/>
      <w:bookmarkStart w:id="265" w:name="_Toc146349245"/>
      <w:bookmarkEnd w:id="265"/>
      <w:bookmarkStart w:id="266" w:name="_Toc148440787"/>
      <w:bookmarkEnd w:id="266"/>
      <w:bookmarkStart w:id="267" w:name="_DV_M449"/>
      <w:bookmarkEnd w:id="267"/>
      <w:bookmarkStart w:id="268" w:name="_Toc148440791"/>
      <w:bookmarkEnd w:id="268"/>
      <w:bookmarkStart w:id="269" w:name="_Toc148440795"/>
      <w:bookmarkEnd w:id="269"/>
      <w:bookmarkStart w:id="270" w:name="_DV_M424"/>
      <w:bookmarkEnd w:id="270"/>
      <w:bookmarkStart w:id="271" w:name="_Toc227694326"/>
      <w:r>
        <w:rPr>
          <w:rFonts w:ascii="Times New Roman" w:hAnsi="Times New Roman" w:eastAsia="楷体_GB2312"/>
          <w:b/>
          <w:sz w:val="24"/>
        </w:rPr>
        <w:t>委托人的权利和义务、陈述和保证</w:t>
      </w:r>
      <w:bookmarkEnd w:id="271"/>
    </w:p>
    <w:p w14:paraId="345550D8">
      <w:pPr>
        <w:tabs>
          <w:tab w:val="left" w:pos="839"/>
        </w:tabs>
        <w:spacing w:line="360" w:lineRule="auto"/>
        <w:ind w:left="425"/>
        <w:rPr>
          <w:rFonts w:ascii="Times New Roman" w:hAnsi="Times New Roman" w:eastAsia="楷体_GB2312"/>
          <w:b/>
          <w:bCs/>
          <w:i/>
          <w:iCs/>
          <w:color w:val="FF0000"/>
          <w:sz w:val="24"/>
        </w:rPr>
      </w:pPr>
      <w:r>
        <w:rPr>
          <w:rFonts w:ascii="Times New Roman" w:hAnsi="Times New Roman" w:eastAsia="楷体_GB2312"/>
          <w:b/>
          <w:bCs/>
          <w:i/>
          <w:iCs/>
          <w:color w:val="FF0000"/>
          <w:sz w:val="24"/>
        </w:rPr>
        <w:t>【注：委托人的权利、义务条款可根据项目具体情况进行补充或调整。】</w:t>
      </w:r>
    </w:p>
    <w:p w14:paraId="480B3713">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委托人的权利</w:t>
      </w:r>
    </w:p>
    <w:p w14:paraId="714CAE1D">
      <w:pPr>
        <w:spacing w:before="156" w:beforeLines="50" w:after="156" w:afterLines="50" w:line="360" w:lineRule="auto"/>
        <w:ind w:left="851"/>
        <w:rPr>
          <w:rFonts w:ascii="Times New Roman" w:hAnsi="Times New Roman" w:eastAsia="楷体_GB2312"/>
          <w:sz w:val="24"/>
        </w:rPr>
      </w:pPr>
      <w:r>
        <w:rPr>
          <w:rFonts w:ascii="Times New Roman" w:hAnsi="Times New Roman" w:eastAsia="楷体_GB2312"/>
          <w:sz w:val="24"/>
        </w:rPr>
        <w:t>“委托人”享有如下权利：</w:t>
      </w:r>
    </w:p>
    <w:p w14:paraId="25C0830D">
      <w:pPr>
        <w:numPr>
          <w:ilvl w:val="0"/>
          <w:numId w:val="11"/>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有权获得“资产支持证券募集资金”。</w:t>
      </w:r>
    </w:p>
    <w:p w14:paraId="65704E94">
      <w:pPr>
        <w:numPr>
          <w:ilvl w:val="0"/>
          <w:numId w:val="11"/>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可以向“受托人”了解“信托财产”的管理、处分及收支情况，并可以要求“受托人”做出相应说明。</w:t>
      </w:r>
    </w:p>
    <w:p w14:paraId="20838133">
      <w:pPr>
        <w:numPr>
          <w:ilvl w:val="0"/>
          <w:numId w:val="11"/>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可以查阅、抄录或者复制与“信托财产”有关的信托账目以及处理信托事务的其他文件。</w:t>
      </w:r>
    </w:p>
    <w:p w14:paraId="7000378C">
      <w:pPr>
        <w:numPr>
          <w:ilvl w:val="0"/>
          <w:numId w:val="11"/>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“中国”“法律”规定</w:t>
      </w:r>
      <w:r>
        <w:rPr>
          <w:rFonts w:hint="eastAsia" w:ascii="Times New Roman" w:hAnsi="Times New Roman" w:eastAsia="楷体_GB2312"/>
          <w:sz w:val="24"/>
        </w:rPr>
        <w:t>的和</w:t>
      </w:r>
      <w:r>
        <w:rPr>
          <w:rFonts w:ascii="Times New Roman" w:hAnsi="Times New Roman" w:eastAsia="楷体_GB2312"/>
          <w:sz w:val="24"/>
        </w:rPr>
        <w:t>本合同约定的其他权利。</w:t>
      </w:r>
    </w:p>
    <w:p w14:paraId="535FF4A3">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委托人的义务</w:t>
      </w:r>
    </w:p>
    <w:p w14:paraId="2338F7F2">
      <w:pPr>
        <w:spacing w:before="156" w:beforeLines="50" w:after="156" w:afterLines="50" w:line="360" w:lineRule="auto"/>
        <w:ind w:left="851"/>
        <w:rPr>
          <w:rFonts w:ascii="Times New Roman" w:hAnsi="Times New Roman" w:eastAsia="楷体_GB2312"/>
          <w:sz w:val="24"/>
        </w:rPr>
      </w:pPr>
      <w:r>
        <w:rPr>
          <w:rFonts w:ascii="Times New Roman" w:hAnsi="Times New Roman" w:eastAsia="楷体_GB2312"/>
          <w:sz w:val="24"/>
        </w:rPr>
        <w:t>“委托人”负有如下义务：</w:t>
      </w:r>
    </w:p>
    <w:p w14:paraId="5B8CB383">
      <w:pPr>
        <w:numPr>
          <w:ilvl w:val="0"/>
          <w:numId w:val="12"/>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“委托人”应对“法律顾问”、“会计顾问</w:t>
      </w:r>
      <w:r>
        <w:rPr>
          <w:rFonts w:hint="eastAsia" w:ascii="Times New Roman" w:hAnsi="Times New Roman" w:eastAsia="楷体_GB2312"/>
          <w:sz w:val="24"/>
        </w:rPr>
        <w:t>/税务</w:t>
      </w:r>
      <w:r>
        <w:rPr>
          <w:rFonts w:ascii="Times New Roman" w:hAnsi="Times New Roman" w:eastAsia="楷体_GB2312"/>
          <w:sz w:val="24"/>
        </w:rPr>
        <w:t>顾问”、“评级机构”等中介服务机构对“资产”进行尽职调查和出具意见书的审核工作给予必要的配合，包括但不限于尽量提供前述中介服务机构进行工作所需的资料。</w:t>
      </w:r>
    </w:p>
    <w:p w14:paraId="3FCF960F">
      <w:pPr>
        <w:numPr>
          <w:ilvl w:val="0"/>
          <w:numId w:val="12"/>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“委托人”同意“受托人”按本合同约定的方式管理、运用、处分“信托财产”。</w:t>
      </w:r>
    </w:p>
    <w:p w14:paraId="19BCA5C1">
      <w:pPr>
        <w:numPr>
          <w:ilvl w:val="0"/>
          <w:numId w:val="12"/>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“委托人”应按照本合同的约定“赎回”“不合格资产”。</w:t>
      </w:r>
    </w:p>
    <w:p w14:paraId="752F8A98">
      <w:pPr>
        <w:numPr>
          <w:ilvl w:val="0"/>
          <w:numId w:val="12"/>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在发生“权利完善事件”时，“委托人”有义务根据本合同的约定就“资产”已经设立为“信托财产”的相关事宜通知相关“借款人”、“担保人”（如有）。</w:t>
      </w:r>
    </w:p>
    <w:p w14:paraId="3BE4CCE0">
      <w:pPr>
        <w:numPr>
          <w:ilvl w:val="0"/>
          <w:numId w:val="12"/>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在“信托”设立后，“委托人”对“受托人”履行信托义务应当予以必要配合。</w:t>
      </w:r>
    </w:p>
    <w:p w14:paraId="53947754">
      <w:pPr>
        <w:numPr>
          <w:ilvl w:val="0"/>
          <w:numId w:val="12"/>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在“信托”设立后，如果“委托人”收到“借款人”支付的属于“信托财产”的资金，则“委托人”应立即将该资金无时滞地交付给届时“受托人”指定的“贷款服务机构”，归入“信托财产”。</w:t>
      </w:r>
    </w:p>
    <w:p w14:paraId="01B2B613">
      <w:pPr>
        <w:numPr>
          <w:ilvl w:val="0"/>
          <w:numId w:val="12"/>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除根据“《信托合同》”或“《资产持续购买合同》”将“资产”信托予“受托人”外，“委托人”不得将“资产”出售、质押、抵押、转让或转移给任何其他主体，不得采取其他行动损害“受托人”对“资产”或“账户记录”的所有权，不得在“资产”或相关“账户记录”上设立或允许存在任何担保。</w:t>
      </w:r>
    </w:p>
    <w:p w14:paraId="3FFFA13D">
      <w:pPr>
        <w:numPr>
          <w:ilvl w:val="0"/>
          <w:numId w:val="12"/>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“中国”“法律”规定</w:t>
      </w:r>
      <w:r>
        <w:rPr>
          <w:rFonts w:hint="eastAsia" w:ascii="Times New Roman" w:hAnsi="Times New Roman" w:eastAsia="楷体_GB2312"/>
          <w:sz w:val="24"/>
        </w:rPr>
        <w:t>的和</w:t>
      </w:r>
      <w:r>
        <w:rPr>
          <w:rFonts w:ascii="Times New Roman" w:hAnsi="Times New Roman" w:eastAsia="楷体_GB2312"/>
          <w:sz w:val="24"/>
        </w:rPr>
        <w:t>本合同约定的其他义务。</w:t>
      </w:r>
    </w:p>
    <w:p w14:paraId="4CD96CB1">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委托人的陈述和保证</w:t>
      </w:r>
    </w:p>
    <w:p w14:paraId="4C2B9060">
      <w:pPr>
        <w:spacing w:before="156" w:beforeLines="50" w:after="156" w:afterLines="50" w:line="360" w:lineRule="auto"/>
        <w:ind w:left="958" w:leftChars="456"/>
        <w:rPr>
          <w:rFonts w:ascii="Times New Roman" w:hAnsi="Times New Roman" w:eastAsia="楷体_GB2312"/>
          <w:sz w:val="24"/>
        </w:rPr>
      </w:pPr>
      <w:r>
        <w:rPr>
          <w:rFonts w:ascii="Times New Roman" w:hAnsi="Times New Roman" w:eastAsia="楷体_GB2312"/>
          <w:sz w:val="24"/>
        </w:rPr>
        <w:t>在本合同签署之日（或本条款约定的任何其他日期），为本合同对方的利益，“委托人”陈述并保证如下：</w:t>
      </w:r>
    </w:p>
    <w:p w14:paraId="3E4E970E">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本合同签署之日，“委托人”已按照“中国”“法律”正式注册成立并有效存续，具有继续进行其正在经营之业务和履行本合同条款的各项权利和授权；</w:t>
      </w:r>
    </w:p>
    <w:p w14:paraId="6805C84E">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为授权签署本合同，“委托人”已履行一切必要的内部程序。本合同构成“委托人”合法的、有效的和有约束力的义务，其他相关方可按照本合同的条款对其主张相应权利（除非该等权利的主张受到现时或未来有效并涉及影响债权人的权利和救济的破产、重整、和解或其他类似的法律限制）；</w:t>
      </w:r>
    </w:p>
    <w:p w14:paraId="40E23878">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除“交易文件”另有约定的以外，“委托人”已为签署和交付本合同以及履行本合同项下约定之义务取得了各项必要的确认、同意、许可、批准和授权，并已办理了各项必要的声明、申请、备案、登记、通知和报告手续；</w:t>
      </w:r>
    </w:p>
    <w:p w14:paraId="419D2F28">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据“委托人”所知，本合同签署之日，“委托人”签署、交付和履行本合同条款，第一，不违反或抵触适用于“委托人”的任何“法律”规定；第二，不违反“委托人”的组建文件；第三，不违反或不会导致“委托人”违反其作为一方或对其或其财产有约束力的任何有效协议、契据、承诺、判决或命令的规定，且不会因此导致“重大不利影响”；第四，不会构成任何该等协议、契据或承诺项下的违约事件，且不会因此导致“重大不利影响”；</w:t>
      </w:r>
    </w:p>
    <w:p w14:paraId="4626EA06">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就“委托人”所知，本合同签署之日，未出现或持续存在任何其他不利事件，也不存在任何不利状况，会构成违反“委托人”作为一方或对其或其财产有约束力的任何协议或契据项下的约定，且可能因此导致“重大不利影响”；</w:t>
      </w:r>
    </w:p>
    <w:p w14:paraId="5DECAF83">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就“委托人”所知，本合同签署之日，没有任何诉讼、仲裁或其他司法或是行政争端威胁、质疑本合同或根据本合同已采取或将要采取的行动的有效性，或有可能个别地或整体地导致“重大不利影响”；“委托人”没有违反任何可能导致“重大不利影响”的政府机构命令；</w:t>
      </w:r>
    </w:p>
    <w:p w14:paraId="5C160B6E">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委托人”具有清偿债务的能力，在可合理预见的未来，不会因“信托”的设立、“信托财产”的转让、本合同或其他“交易文件”项下的任何其他交易而丧失清偿能力；“委托人”未发生“丧失清偿能力事件”；“委托人”未采取任何公司行动，也没有他人针对“委托人”采取其他任何不利步骤，或者开始或即将启动任何法律程序，以使其解散或就其全部或部分财产或收入委任接管人、清算人或类似人员；“委托人”有清偿能力能够支付其任一债务，对其不存在争议（包括但不限于不存在诉讼和仲裁）的债务，不会故意迟延支付；</w:t>
      </w:r>
    </w:p>
    <w:p w14:paraId="54C168CE">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“委托人”公布的其最近一财务年度经审计的财务报告，能够准确地反映“委托人”在该等报告期间的财务状况；且自该等财务报告出具之日以后，亦未发生“重大不利变化”；</w:t>
      </w:r>
    </w:p>
    <w:p w14:paraId="1ADE8B9E">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“委托人”将及时报送本合同项下所有须由“委托人”报送的纳税文件，并将及时缴纳本合同项下依法应由“委托人”承担的税款、税项、摊派税款和其他经合法批准的政府收费；</w:t>
      </w:r>
    </w:p>
    <w:p w14:paraId="669EEBA3">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本合同项下设立的“信托”，按照所适用的“法律”并非是可撤销的、或为非法的目的而设，“委托人”进行“交易文件”项下的交易也并非出于非法的目的；</w:t>
      </w:r>
    </w:p>
    <w:p w14:paraId="79C2B1BD">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就“委托人”所知，本合同签署之日，未出现任何不利事件，也不存在任何不利状况，且按照本合同以“资产”设立信托或运用其收益也不会导致任何不利事件或状况，而构成或被合理预期将构成任何“违约事件”、“贷款服务机构解任事件”；</w:t>
      </w:r>
    </w:p>
    <w:p w14:paraId="3D29A495">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“委托人”在“交易文件”中（无论是作为“委托人”还是“贷款服务机构”）作出的陈述和保证，在所有重大方面均真实、完整和正确；</w:t>
      </w:r>
    </w:p>
    <w:p w14:paraId="019BCAF7">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“委托人”为“交易文件”项下交易或与之有关的目的，在“信托设立日”、“持续购买日”之前提供给“受托人”、“法律顾问”、“会计顾问</w:t>
      </w:r>
      <w:r>
        <w:rPr>
          <w:rFonts w:hint="eastAsia" w:ascii="Times New Roman" w:hAnsi="Times New Roman" w:eastAsia="楷体_GB2312"/>
          <w:sz w:val="24"/>
        </w:rPr>
        <w:t>/税务</w:t>
      </w:r>
      <w:r>
        <w:rPr>
          <w:rFonts w:ascii="Times New Roman" w:hAnsi="Times New Roman" w:eastAsia="楷体_GB2312"/>
          <w:sz w:val="24"/>
        </w:rPr>
        <w:t>顾问”、“评级机构”、“主承销商”或其他相关中介服务机构的所有书面信息（如有，该等信息在“信托设立日”、“持续购买日”之前可能已被更新或补充），以及“委托人”在“信托设立日”、“持续购买日”之后提供给“受托人”、“评级机构”、“审计师”或“资产支持证券持有人”的所有书面信息（如有），在该等信息陈述或确认之日在所有重大方面均真实、完整和准确；</w:t>
      </w:r>
    </w:p>
    <w:p w14:paraId="50C6093F">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委托人”签署、交付和履行本合同以及根据本合同设立“信托”和转让全部“信托财产”均系商业行为，并非公共或政府行为；“委托人”及“信托财产”在“中国”“法律”项下对于法律程序文件的送达、管辖权、诉讼、仲裁、判决、仲裁裁决、抵销、反请求、强制执行判决、查封财产（无论是在诉讼前还是之后为执行判决）以及其他法律程序均不享有任何豁免权；</w:t>
      </w:r>
    </w:p>
    <w:p w14:paraId="585D9379">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委托人”确认，其将“信托财产”信托予“受托人”而所得的对价不低于“资产池”于“初始起算日”和“信托设立日”的公允价值，并且本合同项下的交易不会对“委托人”的任何第三方债权人的任何权利和正当利益产生重大不利影响；</w:t>
      </w:r>
    </w:p>
    <w:p w14:paraId="18EF693E">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“委托人”参与的其他任何交易不会对本合同和其他“交易文件”项下所约定的交易以及“受托人”关于“信托财产”及在“交易文件”项下的权利或利益造成“重大不利影响”；</w:t>
      </w:r>
    </w:p>
    <w:p w14:paraId="33A532A9">
      <w:pPr>
        <w:numPr>
          <w:ilvl w:val="2"/>
          <w:numId w:val="6"/>
        </w:numPr>
        <w:tabs>
          <w:tab w:val="left" w:pos="900"/>
          <w:tab w:val="left" w:pos="162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“委托人”确信，在选择初始“资产”的过程中，未使用任何会对“资产支持证券持有人”的合法或正当利益产生“重大不利影响”的筛选程序；</w:t>
      </w:r>
    </w:p>
    <w:p w14:paraId="63954DA4">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“委托人”能定期准确地依据“借款人”提供的信息产生关于“信托财产”及相关“借款人”总体履约情况的统计信息；</w:t>
      </w:r>
    </w:p>
    <w:p w14:paraId="71D07B05">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“委托人”将“信托财产”信托和转让给“受托人”的行为，不违反“中国”“法律”的相关规定；</w:t>
      </w:r>
    </w:p>
    <w:p w14:paraId="660C64FA">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在“信托设立日”（适用于初始“资产”），“委托人”交付的初始“资产”实质上不构成“委托人”在该日的全部资产；</w:t>
      </w:r>
    </w:p>
    <w:p w14:paraId="048AB5E6">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在“信托设立日”（适用于初始“资产”）当日，没有因“委托人”的原因而导致的“违约事件”发生；</w:t>
      </w:r>
    </w:p>
    <w:p w14:paraId="5870DB52">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“信托”的设立不会损害任何被信托的“贷款”项下可对“借款人”主张的权利；</w:t>
      </w:r>
    </w:p>
    <w:p w14:paraId="7C9ABD6A">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设立“信托”的目的不违反“法律”的强制性或禁止性规定或者损害社会公共利益；以及</w:t>
      </w:r>
    </w:p>
    <w:p w14:paraId="57618989">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“信托”并非专为诉讼或讨债而设立。</w:t>
      </w:r>
    </w:p>
    <w:p w14:paraId="53E63AB0">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资产保证</w:t>
      </w:r>
    </w:p>
    <w:p w14:paraId="42665DAF">
      <w:pPr>
        <w:tabs>
          <w:tab w:val="left" w:pos="900"/>
        </w:tabs>
        <w:spacing w:before="156" w:beforeLines="50" w:after="156" w:afterLines="50" w:line="360" w:lineRule="auto"/>
        <w:ind w:left="992"/>
        <w:outlineLvl w:val="1"/>
        <w:rPr>
          <w:rFonts w:ascii="Times New Roman" w:hAnsi="Times New Roman" w:eastAsia="楷体_GB2312"/>
          <w:b/>
          <w:i/>
          <w:iCs/>
          <w:color w:val="FF0000"/>
          <w:sz w:val="24"/>
        </w:rPr>
      </w:pPr>
      <w:r>
        <w:rPr>
          <w:rFonts w:ascii="Times New Roman" w:hAnsi="Times New Roman" w:eastAsia="楷体_GB2312"/>
          <w:b/>
          <w:i/>
          <w:iCs/>
          <w:color w:val="FF0000"/>
          <w:sz w:val="24"/>
        </w:rPr>
        <w:t>【注：资产保证可根据具体项目情况调整</w:t>
      </w:r>
      <w:r>
        <w:rPr>
          <w:rFonts w:eastAsia="楷体_GB2312"/>
          <w:b/>
          <w:bCs/>
          <w:i/>
          <w:iCs/>
          <w:color w:val="FF0000"/>
          <w:sz w:val="24"/>
        </w:rPr>
        <w:t>或删除</w:t>
      </w:r>
      <w:r>
        <w:rPr>
          <w:rFonts w:ascii="Times New Roman" w:hAnsi="Times New Roman" w:eastAsia="楷体_GB2312"/>
          <w:b/>
          <w:i/>
          <w:iCs/>
          <w:color w:val="FF0000"/>
          <w:sz w:val="24"/>
        </w:rPr>
        <w:t>。《信托合同》中的资产保证仅针对初始基础资产，若产品设置存续期的资产持续购买，则对新增的持续购买资产的资产保证见《资产持续购买合同》</w:t>
      </w:r>
      <w:r>
        <w:rPr>
          <w:rFonts w:hint="eastAsia" w:ascii="Times New Roman" w:hAnsi="Times New Roman" w:eastAsia="楷体_GB2312"/>
          <w:b/>
          <w:i/>
          <w:iCs/>
          <w:color w:val="FF0000"/>
          <w:sz w:val="24"/>
        </w:rPr>
        <w:t>或在具体项目中就持续购买的资产做出资产保证</w:t>
      </w:r>
      <w:r>
        <w:rPr>
          <w:rFonts w:ascii="Times New Roman" w:hAnsi="Times New Roman" w:eastAsia="楷体_GB2312"/>
          <w:b/>
          <w:i/>
          <w:iCs/>
          <w:color w:val="FF0000"/>
          <w:sz w:val="24"/>
        </w:rPr>
        <w:t>。】</w:t>
      </w:r>
    </w:p>
    <w:p w14:paraId="6C24E40E">
      <w:pPr>
        <w:spacing w:before="156" w:beforeLines="50" w:after="156" w:afterLines="50" w:line="360" w:lineRule="auto"/>
        <w:ind w:left="958" w:leftChars="456"/>
        <w:rPr>
          <w:rFonts w:ascii="Times New Roman" w:hAnsi="Times New Roman" w:eastAsia="楷体_GB2312"/>
          <w:sz w:val="24"/>
        </w:rPr>
      </w:pPr>
      <w:r>
        <w:rPr>
          <w:rFonts w:ascii="Times New Roman" w:hAnsi="Times New Roman" w:eastAsia="楷体_GB2312"/>
          <w:sz w:val="24"/>
        </w:rPr>
        <w:t>为本合同对方的利益，“委托人”于“初始起算日”和“信托设立日”（除非具体条款中对时间另有明确约定）就其向“受托人”交付的每一笔</w:t>
      </w:r>
      <w:r>
        <w:rPr>
          <w:rFonts w:hint="eastAsia" w:ascii="Times New Roman" w:hAnsi="Times New Roman" w:eastAsia="楷体_GB2312"/>
          <w:sz w:val="24"/>
        </w:rPr>
        <w:t>初始</w:t>
      </w:r>
      <w:r>
        <w:rPr>
          <w:rFonts w:ascii="Times New Roman" w:hAnsi="Times New Roman" w:eastAsia="楷体_GB2312"/>
          <w:sz w:val="24"/>
        </w:rPr>
        <w:t>“资产”的状况，作出陈述和保证如下：</w:t>
      </w:r>
    </w:p>
    <w:p w14:paraId="5E4DD2FD">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委托人”是每一笔“贷款”的唯一债权人，对相关的“附属权益”（如有）拥有合法的请求权；“委托人”未向任何第三方转让该等权利或利益；“委托人”未对该等权利或利益设定任何担保权益、抵押或任何其他财产负担；</w:t>
      </w:r>
    </w:p>
    <w:p w14:paraId="6AA40EF2">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在“初始起算日”和“信托设立日”（“合格标准”对时间另有约定的除外），每一笔“资产”均符合“合格标准”；</w:t>
      </w:r>
    </w:p>
    <w:p w14:paraId="32DE4E5B">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据“委托人”所知，“委托人”向“受托人”提供的关于“委托人”转让的“资产”的必要的资料和信息，在所有可能对债权的真实性和回收的实现有重大影响的方面均真实、准确和完整；</w:t>
      </w:r>
    </w:p>
    <w:p w14:paraId="1570B6E1">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除需根据“中国”“法律”的有关规定通知相关“借款人”、“担保人”（如有）外，从“信托财产交付日”起，“受托人”对每笔“资产”享有能够对抗所有主体的合法的、有效的、可执行的所有者权益；“受托人”将成为“贷款”的唯一债权人和“附属权益”（如有）的唯一权益人；并且“受托人”将对与“信托财产”有关的任何文件、记录和数据，拥有完整的、不受妨碍和唯一合法的所有权（但“贷款”与“信用卡账户”项下其他债权共用的资料文件、记录和数据除外）；“委托人”作为一方的“交易文件”项下的任何交易（包括但不限于“信托财产”的转移）均不构成欺诈性的让与；</w:t>
      </w:r>
    </w:p>
    <w:p w14:paraId="20248399">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每位“借款人”履行“贷款合同”</w:t>
      </w:r>
      <w:r>
        <w:rPr>
          <w:rFonts w:hint="eastAsia" w:ascii="Times New Roman" w:hAnsi="Times New Roman" w:eastAsia="楷体_GB2312"/>
          <w:sz w:val="24"/>
        </w:rPr>
        <w:t>/</w:t>
      </w:r>
      <w:r>
        <w:rPr>
          <w:rFonts w:ascii="Times New Roman" w:hAnsi="Times New Roman" w:eastAsia="楷体_GB2312"/>
          <w:sz w:val="24"/>
          <w:szCs w:val="28"/>
        </w:rPr>
        <w:t>“信用卡文件”</w:t>
      </w:r>
      <w:r>
        <w:rPr>
          <w:rFonts w:ascii="Times New Roman" w:hAnsi="Times New Roman" w:eastAsia="楷体_GB2312"/>
          <w:sz w:val="24"/>
        </w:rPr>
        <w:t>项下义务的所有先决条件均已得到满足；</w:t>
      </w:r>
    </w:p>
    <w:p w14:paraId="33D93E5A">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除“交易文件”约定的以外，“委托人”未就其在任何或部分“资产”中或与任何或部分“资产”有关的所有权及相关权益，给予或同意给予任何第三方对“资产”的回收产生“重大不利影响”的选择权；也未处置或同意任何第三方处置其在任何或部分“资产”中或与任何或部分“资产”有关的所有权及相关权益；</w:t>
      </w:r>
    </w:p>
    <w:p w14:paraId="3039DE42">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“委托人”对每笔“资产”享有的所有权并非是无效的或已被撤销、宣布无效或被废止，亦不能被撤销、宣布无效或被废止；</w:t>
      </w:r>
    </w:p>
    <w:p w14:paraId="37106278">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除已取得或作出且现行有效的政府机构的批准、许可、授权、备案、登记、记录或其他手续以外，不需要其他政府机构的批准、许可、授权、备案、登记、记录或其他手续，以确保与“资产”相关的任何文件的有效性、可执行性或作为证据的可接受性；</w:t>
      </w:r>
    </w:p>
    <w:p w14:paraId="0A9E5CEE">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“贷款”是由“委托人”在其一般经营过程中，按照其标准程序和所有其他可适用的与</w:t>
      </w:r>
      <w:r>
        <w:rPr>
          <w:rFonts w:ascii="Times New Roman" w:hAnsi="Times New Roman" w:eastAsia="楷体_GB2312"/>
          <w:sz w:val="24"/>
          <w:szCs w:val="28"/>
        </w:rPr>
        <w:t>【个人消费贷款/信用卡】</w:t>
      </w:r>
      <w:r>
        <w:rPr>
          <w:rFonts w:ascii="Times New Roman" w:hAnsi="Times New Roman" w:eastAsia="楷体_GB2312"/>
          <w:sz w:val="24"/>
        </w:rPr>
        <w:t>业务有关的政策、实践以及程序的要求而发放或形成；</w:t>
      </w:r>
    </w:p>
    <w:p w14:paraId="785FC6F0">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“贷款”的发放均符合相关“中国”“法律”的各项要求；</w:t>
      </w:r>
    </w:p>
    <w:p w14:paraId="0D5FD309">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每笔“贷款”将在任何时候都是相关“借款人”合法、有效和有约束力的支付义务，并且可按照“贷款合同”</w:t>
      </w:r>
      <w:r>
        <w:rPr>
          <w:rFonts w:hint="eastAsia" w:ascii="Times New Roman" w:hAnsi="Times New Roman" w:eastAsia="楷体_GB2312"/>
          <w:sz w:val="24"/>
        </w:rPr>
        <w:t>/</w:t>
      </w:r>
      <w:r>
        <w:rPr>
          <w:rFonts w:ascii="Times New Roman" w:hAnsi="Times New Roman" w:eastAsia="楷体_GB2312"/>
          <w:sz w:val="24"/>
          <w:szCs w:val="28"/>
        </w:rPr>
        <w:t>“信用卡文件”</w:t>
      </w:r>
      <w:r>
        <w:rPr>
          <w:rFonts w:ascii="Times New Roman" w:hAnsi="Times New Roman" w:eastAsia="楷体_GB2312"/>
          <w:sz w:val="24"/>
        </w:rPr>
        <w:t>、担保合同的条款对该“借款人”、担保人主张权利；</w:t>
      </w:r>
    </w:p>
    <w:p w14:paraId="302FBED6">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“委托人”在将“资产”信托给“受托人”时，除“交易文件”另有约定的以外</w:t>
      </w:r>
      <w:r>
        <w:rPr>
          <w:rFonts w:ascii="Times New Roman" w:hAnsi="Times New Roman" w:eastAsia="楷体_GB2312"/>
          <w:w w:val="0"/>
          <w:sz w:val="24"/>
        </w:rPr>
        <w:t>（包括但不限于发送“权利完善通知”）</w:t>
      </w:r>
      <w:r>
        <w:rPr>
          <w:rFonts w:ascii="Times New Roman" w:hAnsi="Times New Roman" w:eastAsia="楷体_GB2312"/>
          <w:sz w:val="24"/>
        </w:rPr>
        <w:t>，“委托人”已经完成“交易文件”项下交易应适用的“中国”“法律”所要求其履行的所有程序和规定；</w:t>
      </w:r>
    </w:p>
    <w:p w14:paraId="32B8E4EB">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“信托设立日”之前，就每一笔“资产”而言，“委托人”持有与该笔“资产”有关的、为“资产”提供适当有效的服务和执行所必需的各项文件；</w:t>
      </w:r>
    </w:p>
    <w:p w14:paraId="7A32E8A7">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“委托人”将（或已经）把对每笔“资产”的所有权益和利益有效地信托予“受托人”，并且“委托人”将把与上述权益和利益有关的记录和信息有效地转让给“受托人”；</w:t>
      </w:r>
    </w:p>
    <w:p w14:paraId="0E145458">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将任何“资产”设立“信托”时或之前，“委托人”无故意或重大过失行为损害“受托人”对该“资产”所享有的合法权利；</w:t>
      </w:r>
    </w:p>
    <w:p w14:paraId="3CF4693E">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每笔“资产”都能够并将始终能够与“委托人”未信托给“受托人”的其他债权或资产相分离；</w:t>
      </w:r>
    </w:p>
    <w:p w14:paraId="07764EFC">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据“委托人”所知，“借款人”、“担保人”没有涉及任何司法或者仲裁程序，也未被任何司法机关、监管机关、行政机关调查，以致对“信托财产”造成“重大不利影响”；</w:t>
      </w:r>
    </w:p>
    <w:p w14:paraId="60C0DCC2">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没有任何一笔“资产”因要避免拖欠或违约而重新制定还款计划、重组、重新融资或变更。</w:t>
      </w:r>
    </w:p>
    <w:p w14:paraId="61E1D5B1">
      <w:pPr>
        <w:numPr>
          <w:ilvl w:val="0"/>
          <w:numId w:val="6"/>
        </w:numPr>
        <w:spacing w:before="156" w:beforeLines="50" w:after="156" w:afterLines="50" w:line="360" w:lineRule="auto"/>
        <w:outlineLvl w:val="0"/>
        <w:rPr>
          <w:rFonts w:ascii="Times New Roman" w:hAnsi="Times New Roman" w:eastAsia="楷体_GB2312"/>
          <w:b/>
          <w:sz w:val="24"/>
        </w:rPr>
      </w:pPr>
      <w:bookmarkStart w:id="272" w:name="_Toc227694327"/>
      <w:r>
        <w:rPr>
          <w:rFonts w:ascii="Times New Roman" w:hAnsi="Times New Roman" w:eastAsia="楷体_GB2312"/>
          <w:b/>
          <w:sz w:val="24"/>
        </w:rPr>
        <w:t>受托人的权利和义务、陈述和保证</w:t>
      </w:r>
      <w:bookmarkEnd w:id="272"/>
    </w:p>
    <w:p w14:paraId="2FCFD1A0">
      <w:pPr>
        <w:spacing w:before="156" w:beforeLines="50" w:after="156" w:afterLines="50" w:line="360" w:lineRule="auto"/>
        <w:ind w:firstLine="482" w:firstLineChars="200"/>
        <w:rPr>
          <w:rFonts w:ascii="Times New Roman" w:hAnsi="Times New Roman" w:eastAsia="楷体_GB2312"/>
          <w:b/>
          <w:bCs/>
          <w:i/>
          <w:iCs/>
          <w:color w:val="FF0000"/>
          <w:sz w:val="24"/>
        </w:rPr>
      </w:pPr>
      <w:r>
        <w:rPr>
          <w:rFonts w:ascii="Times New Roman" w:hAnsi="Times New Roman" w:eastAsia="楷体_GB2312"/>
          <w:b/>
          <w:bCs/>
          <w:i/>
          <w:iCs/>
          <w:color w:val="FF0000"/>
          <w:sz w:val="24"/>
        </w:rPr>
        <w:t>【注：受托人的权利、义务条款可根据项目具体情况进行补充或调整。】</w:t>
      </w:r>
    </w:p>
    <w:p w14:paraId="52A9B74C">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受托人的权利</w:t>
      </w:r>
    </w:p>
    <w:p w14:paraId="53E9C616">
      <w:pPr>
        <w:spacing w:before="156" w:beforeLines="50" w:after="156" w:afterLines="50" w:line="360" w:lineRule="auto"/>
        <w:ind w:left="958"/>
        <w:rPr>
          <w:rFonts w:ascii="Times New Roman" w:hAnsi="Times New Roman" w:eastAsia="楷体_GB2312"/>
          <w:sz w:val="24"/>
        </w:rPr>
      </w:pPr>
      <w:r>
        <w:rPr>
          <w:rFonts w:ascii="Times New Roman" w:hAnsi="Times New Roman" w:eastAsia="楷体_GB2312"/>
          <w:sz w:val="24"/>
        </w:rPr>
        <w:t>“受托人”享有如下权利：</w:t>
      </w:r>
    </w:p>
    <w:p w14:paraId="4A610DE9">
      <w:pPr>
        <w:numPr>
          <w:ilvl w:val="0"/>
          <w:numId w:val="13"/>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“受托人”有权发行“资产支持证券”。</w:t>
      </w:r>
    </w:p>
    <w:p w14:paraId="085F8E45">
      <w:pPr>
        <w:numPr>
          <w:ilvl w:val="0"/>
          <w:numId w:val="13"/>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“受托人”有权依据本合同的约定获得“受托人”服务报酬。</w:t>
      </w:r>
    </w:p>
    <w:p w14:paraId="54E1B2C0">
      <w:pPr>
        <w:numPr>
          <w:ilvl w:val="0"/>
          <w:numId w:val="13"/>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“受托人”在其认为必要时，有权提议召开“资产支持证券持有人大会”，对涉及信托事务的重大事项进行表决并按照表决结果处理信托事务。</w:t>
      </w:r>
    </w:p>
    <w:p w14:paraId="719346BD">
      <w:pPr>
        <w:numPr>
          <w:ilvl w:val="0"/>
          <w:numId w:val="13"/>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“受托人”依据本合同约定的方式，有权管理、运用、处分本合同约定的“信托财产”。</w:t>
      </w:r>
    </w:p>
    <w:p w14:paraId="3A0DBC71">
      <w:pPr>
        <w:numPr>
          <w:ilvl w:val="0"/>
          <w:numId w:val="13"/>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“受托人”在有利于信托目的实现的前提下，有权根据本合同的约定委托“贷款服务机构”、“资金保管机构”、“评级机构”、“审计师”等机构代为处理相关的信托事务。</w:t>
      </w:r>
    </w:p>
    <w:p w14:paraId="3C031796">
      <w:pPr>
        <w:numPr>
          <w:ilvl w:val="0"/>
          <w:numId w:val="13"/>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“受托人”有权根据本合同的约定委托“登记托管机构”和“支付代理机构”提供“资产支持证券”的登记托管和本息兑付服务。</w:t>
      </w:r>
    </w:p>
    <w:p w14:paraId="5DACBBD8">
      <w:pPr>
        <w:numPr>
          <w:ilvl w:val="0"/>
          <w:numId w:val="13"/>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“受托人”有权享有“中国”“法律”和本合同约定的其他与“信托财产”相关的权利。</w:t>
      </w:r>
    </w:p>
    <w:p w14:paraId="46AF2BF4">
      <w:pPr>
        <w:numPr>
          <w:ilvl w:val="0"/>
          <w:numId w:val="13"/>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“受托人”根据“中国”“法律”的规定和本合同的约定有权参与和了解“资产”筛选、确定、证券化方案的制定等“信托”设立前期全部过程，有权获取相关资料和信息。</w:t>
      </w:r>
    </w:p>
    <w:p w14:paraId="49360B5A">
      <w:pPr>
        <w:numPr>
          <w:ilvl w:val="0"/>
          <w:numId w:val="13"/>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“受托人”有权要求“贷款服务机构”、“资金保管机构”及其他相关机构提供关于“信托财产”的信息资料，用于</w:t>
      </w:r>
      <w:r>
        <w:rPr>
          <w:rFonts w:hint="eastAsia" w:ascii="Times New Roman" w:hAnsi="Times New Roman" w:eastAsia="楷体_GB2312"/>
          <w:sz w:val="24"/>
        </w:rPr>
        <w:t>包括</w:t>
      </w:r>
      <w:r>
        <w:rPr>
          <w:rFonts w:ascii="Times New Roman" w:hAnsi="Times New Roman" w:eastAsia="楷体_GB2312"/>
          <w:sz w:val="24"/>
        </w:rPr>
        <w:t>但不限于“信托财产”的一般管理、会计处理及对外信息披露等。</w:t>
      </w:r>
    </w:p>
    <w:p w14:paraId="395E621F">
      <w:pPr>
        <w:numPr>
          <w:ilvl w:val="0"/>
          <w:numId w:val="13"/>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“受托人”有权要求“贷款服务机构”、“资金保管机构”及其他相关机构配合“受托人”委任的“审计师”进行关于“信托财产”方面的审计工作。</w:t>
      </w:r>
    </w:p>
    <w:p w14:paraId="74E724B6">
      <w:pPr>
        <w:numPr>
          <w:ilvl w:val="0"/>
          <w:numId w:val="13"/>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“受托人”有权要求“贷款服务机构”、“资金保管机构”及其他相关机构配合“受托人”委任的“评级机构”进行关于“优先级资产支持证券”的持续跟踪评级工作。</w:t>
      </w:r>
    </w:p>
    <w:p w14:paraId="62785812">
      <w:pPr>
        <w:numPr>
          <w:ilvl w:val="0"/>
          <w:numId w:val="13"/>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“受托人”应当自己处理信托事务，但本合同另有约定或者有不得已事由的，“受托人”可以委托他人代为处理。</w:t>
      </w:r>
    </w:p>
    <w:p w14:paraId="3DD7916B">
      <w:pPr>
        <w:numPr>
          <w:ilvl w:val="0"/>
          <w:numId w:val="13"/>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“受托人”因处理信托事务所支出的费用、对第三人所负债务，以“信托财产”承担。“受托人”以其固有财产垫付的，就垫付的金额，按照本合同的约定由“信托财产”予以偿还。</w:t>
      </w:r>
    </w:p>
    <w:p w14:paraId="11F27869">
      <w:pPr>
        <w:numPr>
          <w:ilvl w:val="0"/>
          <w:numId w:val="13"/>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“中国”“法律”规定</w:t>
      </w:r>
      <w:r>
        <w:rPr>
          <w:rFonts w:hint="eastAsia" w:ascii="Times New Roman" w:hAnsi="Times New Roman" w:eastAsia="楷体_GB2312"/>
          <w:sz w:val="24"/>
        </w:rPr>
        <w:t>的和</w:t>
      </w:r>
      <w:r>
        <w:rPr>
          <w:rFonts w:ascii="Times New Roman" w:hAnsi="Times New Roman" w:eastAsia="楷体_GB2312"/>
          <w:sz w:val="24"/>
        </w:rPr>
        <w:t>本合同约定的其他权利。</w:t>
      </w:r>
    </w:p>
    <w:p w14:paraId="1E021303">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受托人的义务</w:t>
      </w:r>
    </w:p>
    <w:p w14:paraId="50A01CC6">
      <w:pPr>
        <w:spacing w:before="156" w:beforeLines="50" w:after="156" w:afterLines="50" w:line="360" w:lineRule="auto"/>
        <w:ind w:left="840"/>
        <w:rPr>
          <w:rFonts w:ascii="Times New Roman" w:hAnsi="Times New Roman" w:eastAsia="楷体_GB2312"/>
          <w:sz w:val="24"/>
        </w:rPr>
      </w:pPr>
      <w:r>
        <w:rPr>
          <w:rFonts w:ascii="Times New Roman" w:hAnsi="Times New Roman" w:eastAsia="楷体_GB2312"/>
          <w:sz w:val="24"/>
        </w:rPr>
        <w:t>“受托人”负有如下义务：</w:t>
      </w:r>
    </w:p>
    <w:p w14:paraId="297CCB19">
      <w:pPr>
        <w:numPr>
          <w:ilvl w:val="0"/>
          <w:numId w:val="1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“受托人”应安排“法律顾问”、“评级机构”等中介服务机构，对“资产”以尽职调查和出具意见书的方式进行审核。</w:t>
      </w:r>
    </w:p>
    <w:p w14:paraId="33883887">
      <w:pPr>
        <w:numPr>
          <w:ilvl w:val="0"/>
          <w:numId w:val="1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“受托人”应按照本合同约定将“资产支持证券募集资金”支付给“委托人”。</w:t>
      </w:r>
    </w:p>
    <w:p w14:paraId="0BED6099">
      <w:pPr>
        <w:numPr>
          <w:ilvl w:val="0"/>
          <w:numId w:val="1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根据本合同的约定，“受托人”应妥善保存“资产支持证券持有人”名单。</w:t>
      </w:r>
    </w:p>
    <w:p w14:paraId="2C9F80FC">
      <w:pPr>
        <w:numPr>
          <w:ilvl w:val="0"/>
          <w:numId w:val="1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“受托人”应根据有关规定，对“信托”进行会计核算和报告。</w:t>
      </w:r>
    </w:p>
    <w:p w14:paraId="7E240E3F">
      <w:pPr>
        <w:numPr>
          <w:ilvl w:val="0"/>
          <w:numId w:val="1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“受托人”应安排相关评级机构对“优先级资产支持证券”进行跟踪评级。</w:t>
      </w:r>
    </w:p>
    <w:p w14:paraId="48438AC3">
      <w:pPr>
        <w:numPr>
          <w:ilvl w:val="0"/>
          <w:numId w:val="1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“受托人”应委托有资质的商业银行（含其分支机构）担任“信托财产”“资金保管机构”，并依照本合同分别委托其他有业务资格的机构履行“资产”管理等其他受托职责。</w:t>
      </w:r>
    </w:p>
    <w:p w14:paraId="622F28B0">
      <w:pPr>
        <w:numPr>
          <w:ilvl w:val="0"/>
          <w:numId w:val="1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除本合同另有约定外，“受托人”应亲自处理信托事务，非经本合同约定或“资产支持证券持有人大会”的同意，不得变更本合同项下所确定的“贷款服务机构”、“资金保管机构”。</w:t>
      </w:r>
    </w:p>
    <w:p w14:paraId="4638DD93">
      <w:pPr>
        <w:numPr>
          <w:ilvl w:val="0"/>
          <w:numId w:val="1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“受托人”从事信托活动，应当遵守“法律”和本合同的约定，不得损害国家利益、社会公众利益和他人的合法权益。</w:t>
      </w:r>
    </w:p>
    <w:p w14:paraId="0E9930FD">
      <w:pPr>
        <w:numPr>
          <w:ilvl w:val="0"/>
          <w:numId w:val="1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“受托人”管理、处分“信托财产”所产生的债权，不得与“受托人”固有财产产生的债务相抵销；“受托人”管理、处分不同信托的“信托财产”所产生的债权债务，不得相互抵销。</w:t>
      </w:r>
    </w:p>
    <w:p w14:paraId="25F9128F">
      <w:pPr>
        <w:numPr>
          <w:ilvl w:val="0"/>
          <w:numId w:val="1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“受托人”在管理、处分“信托财产”时，不得违反信托目的或者违背管理职责。因“受托人”违背管理职责或处理信托事务不当，</w:t>
      </w:r>
      <w:r>
        <w:rPr>
          <w:rStyle w:val="79"/>
          <w:rFonts w:ascii="Times New Roman" w:hAnsi="Times New Roman" w:eastAsia="楷体_GB2312"/>
          <w:color w:val="auto"/>
          <w:w w:val="0"/>
          <w:sz w:val="24"/>
          <w:u w:val="none"/>
        </w:rPr>
        <w:t>导致“信托财产”损失的，“受托人”以其固有财产承担赔偿责任；因“受托人”违背管理职责或处理信托事务不当而</w:t>
      </w:r>
      <w:r>
        <w:rPr>
          <w:rFonts w:ascii="Times New Roman" w:hAnsi="Times New Roman" w:eastAsia="楷体_GB2312"/>
          <w:sz w:val="24"/>
        </w:rPr>
        <w:t>对第三人所负债务应当以固有财产承担。</w:t>
      </w:r>
    </w:p>
    <w:p w14:paraId="5F49B7B6">
      <w:pPr>
        <w:numPr>
          <w:ilvl w:val="0"/>
          <w:numId w:val="1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“受托人”应当遵守本合同的约定，本着忠实于“受益人”最大利益的原则处理信托事务；“受托人”管理“信托财产”，必须恪尽职守，履行诚实、信用、谨慎管理的义务。</w:t>
      </w:r>
    </w:p>
    <w:p w14:paraId="2A19B110">
      <w:pPr>
        <w:numPr>
          <w:ilvl w:val="0"/>
          <w:numId w:val="1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“受托人”不得将“信托财产”转为其固有财产；“受托人”将“信托财产”转为其固有财产的，必须恢复该“信托财产”的原状；造成“信托财产”损失的，应当承担赔偿责任。</w:t>
      </w:r>
    </w:p>
    <w:p w14:paraId="36AA7487">
      <w:pPr>
        <w:numPr>
          <w:ilvl w:val="0"/>
          <w:numId w:val="1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“受托人”除依照本合同的约定取得“受托人”服务报酬外，不得利用“信托财产”为自己谋取利益，“受托人”利用“信托财产”为自己谋取利益的，所得利益归入“信托财产”。</w:t>
      </w:r>
    </w:p>
    <w:p w14:paraId="44451DFC">
      <w:pPr>
        <w:numPr>
          <w:ilvl w:val="0"/>
          <w:numId w:val="1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除非在“违约事件”发生后或取得“资产支持证券持有人大会”的批准并通知“评级机构”，不得出售、转让全部或部分“信托财产”（根据本合同第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_Ref340082454 \r \h  \* MERGEFORMAT </w:instrText>
      </w:r>
      <w:r>
        <w:rPr>
          <w:rFonts w:ascii="Times New Roman" w:hAnsi="Times New Roman" w:eastAsia="楷体_GB2312"/>
          <w:sz w:val="24"/>
        </w:rPr>
        <w:fldChar w:fldCharType="separate"/>
      </w:r>
      <w:r>
        <w:rPr>
          <w:rFonts w:ascii="Times New Roman" w:hAnsi="Times New Roman" w:eastAsia="楷体_GB2312"/>
          <w:sz w:val="24"/>
        </w:rPr>
        <w:t>4</w:t>
      </w:r>
      <w:r>
        <w:rPr>
          <w:rFonts w:ascii="Times New Roman" w:hAnsi="Times New Roman" w:eastAsia="楷体_GB2312"/>
          <w:sz w:val="24"/>
        </w:rPr>
        <w:fldChar w:fldCharType="end"/>
      </w:r>
      <w:r>
        <w:rPr>
          <w:rFonts w:ascii="Times New Roman" w:hAnsi="Times New Roman" w:eastAsia="楷体_GB2312"/>
          <w:sz w:val="24"/>
        </w:rPr>
        <w:t>条和第</w:t>
      </w:r>
      <w:r>
        <w:rPr>
          <w:rFonts w:ascii="Times New Roman" w:hAnsi="Times New Roman" w:eastAsia="楷体_GB2312"/>
          <w:sz w:val="24"/>
        </w:rPr>
        <w:fldChar w:fldCharType="begin"/>
      </w:r>
      <w:r>
        <w:rPr>
          <w:rFonts w:ascii="Times New Roman" w:hAnsi="Times New Roman" w:eastAsia="楷体_GB2312"/>
          <w:sz w:val="24"/>
        </w:rPr>
        <w:instrText xml:space="preserve"> REF _Ref340403748 \r \h  \* MERGEFORMAT </w:instrText>
      </w:r>
      <w:r>
        <w:rPr>
          <w:rFonts w:ascii="Times New Roman" w:hAnsi="Times New Roman" w:eastAsia="楷体_GB2312"/>
          <w:sz w:val="24"/>
        </w:rPr>
        <w:fldChar w:fldCharType="separate"/>
      </w:r>
      <w:r>
        <w:rPr>
          <w:rFonts w:ascii="Times New Roman" w:hAnsi="Times New Roman" w:eastAsia="楷体_GB2312"/>
          <w:sz w:val="24"/>
        </w:rPr>
        <w:t>13</w:t>
      </w:r>
      <w:r>
        <w:rPr>
          <w:rFonts w:ascii="Times New Roman" w:hAnsi="Times New Roman" w:eastAsia="楷体_GB2312"/>
          <w:sz w:val="24"/>
        </w:rPr>
        <w:fldChar w:fldCharType="end"/>
      </w:r>
      <w:r>
        <w:rPr>
          <w:rFonts w:ascii="Times New Roman" w:hAnsi="Times New Roman" w:eastAsia="楷体_GB2312"/>
          <w:sz w:val="24"/>
        </w:rPr>
        <w:t>条要求“委托人”赎回“不合格资产”和接受“委托人”“清仓回购”以及根据本合同第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_Ref201647271 \r \h  \* MERGEFORMAT </w:instrText>
      </w:r>
      <w:r>
        <w:rPr>
          <w:rFonts w:ascii="Times New Roman" w:hAnsi="Times New Roman" w:eastAsia="楷体_GB2312"/>
          <w:sz w:val="24"/>
        </w:rPr>
        <w:fldChar w:fldCharType="separate"/>
      </w:r>
      <w:r>
        <w:rPr>
          <w:rFonts w:ascii="Times New Roman" w:hAnsi="Times New Roman" w:eastAsia="楷体_GB2312"/>
          <w:sz w:val="24"/>
        </w:rPr>
        <w:t>14.2</w:t>
      </w:r>
      <w:r>
        <w:rPr>
          <w:rFonts w:ascii="Times New Roman" w:hAnsi="Times New Roman" w:eastAsia="楷体_GB2312"/>
          <w:sz w:val="24"/>
        </w:rPr>
        <w:fldChar w:fldCharType="end"/>
      </w:r>
      <w:r>
        <w:rPr>
          <w:rFonts w:ascii="Times New Roman" w:hAnsi="Times New Roman" w:eastAsia="楷体_GB2312"/>
          <w:sz w:val="24"/>
        </w:rPr>
        <w:t>款清算“信托财产”的除外）。</w:t>
      </w:r>
    </w:p>
    <w:p w14:paraId="2A9C1634">
      <w:pPr>
        <w:numPr>
          <w:ilvl w:val="0"/>
          <w:numId w:val="1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不得以“信托账户”、“信托财产”和/或相关“账户记录”提供任何形式的担保。</w:t>
      </w:r>
    </w:p>
    <w:p w14:paraId="410C9192">
      <w:pPr>
        <w:numPr>
          <w:ilvl w:val="0"/>
          <w:numId w:val="1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“受托人”应将“信托财产”与其固有财产分开管理，并将不同信托的财产分别记账，在任何时候都不得将“信托财产”与“受托人”的固有财产或其持有的其他财产或资产相混同。</w:t>
      </w:r>
    </w:p>
    <w:p w14:paraId="1A396F39">
      <w:pPr>
        <w:numPr>
          <w:ilvl w:val="0"/>
          <w:numId w:val="1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“受托人”应妥为保存处理信托事务的完整记录，保存期限自“信托终止日”起不得少于十五年。</w:t>
      </w:r>
    </w:p>
    <w:p w14:paraId="286CA7BD">
      <w:pPr>
        <w:numPr>
          <w:ilvl w:val="0"/>
          <w:numId w:val="1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“受托人”应当按照“中国”“法律”的相关规定和本合同的约定持续披露有关“信托财产”和“资产支持证券”的信息；在“委托人”</w:t>
      </w:r>
      <w:r>
        <w:rPr>
          <w:rFonts w:hint="eastAsia" w:ascii="Times New Roman" w:hAnsi="Times New Roman" w:eastAsia="楷体_GB2312"/>
          <w:sz w:val="24"/>
        </w:rPr>
        <w:t>依据</w:t>
      </w:r>
      <w:r>
        <w:rPr>
          <w:rFonts w:ascii="Times New Roman" w:hAnsi="Times New Roman" w:eastAsia="楷体_GB2312"/>
          <w:sz w:val="24"/>
        </w:rPr>
        <w:t>本合同的约定向其了解“信托财产”的相关情况时，“受托人”应积极配合并做出相应的说明。</w:t>
      </w:r>
    </w:p>
    <w:p w14:paraId="6B6BC2D1">
      <w:pPr>
        <w:numPr>
          <w:ilvl w:val="0"/>
          <w:numId w:val="1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“受托人”应监督和督促其委托或聘请的“贷款服务机构”、“资金保管机构”及其他中介服务机构恪尽职守地履行其各自的职能和义务。</w:t>
      </w:r>
    </w:p>
    <w:p w14:paraId="201DBEDE">
      <w:pPr>
        <w:numPr>
          <w:ilvl w:val="0"/>
          <w:numId w:val="1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如“受托人”职责终止，“受托人”应妥善保管与“信托”相关的全部资料，并及时向新的“受托人”办理移交手续。</w:t>
      </w:r>
    </w:p>
    <w:p w14:paraId="303016B4">
      <w:pPr>
        <w:numPr>
          <w:ilvl w:val="0"/>
          <w:numId w:val="1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“中国”“法律”规定</w:t>
      </w:r>
      <w:r>
        <w:rPr>
          <w:rFonts w:hint="eastAsia" w:ascii="Times New Roman" w:hAnsi="Times New Roman" w:eastAsia="楷体_GB2312"/>
          <w:sz w:val="24"/>
        </w:rPr>
        <w:t>的和</w:t>
      </w:r>
      <w:r>
        <w:rPr>
          <w:rFonts w:ascii="Times New Roman" w:hAnsi="Times New Roman" w:eastAsia="楷体_GB2312"/>
          <w:sz w:val="24"/>
        </w:rPr>
        <w:t>本合同约定的其他义务。</w:t>
      </w:r>
    </w:p>
    <w:p w14:paraId="3FE3B8E1">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受托人的陈述和保证</w:t>
      </w:r>
    </w:p>
    <w:p w14:paraId="1E386024">
      <w:pPr>
        <w:spacing w:before="156" w:beforeLines="50" w:after="156" w:afterLines="50" w:line="360" w:lineRule="auto"/>
        <w:ind w:left="958" w:leftChars="456"/>
        <w:rPr>
          <w:rFonts w:ascii="Times New Roman" w:hAnsi="Times New Roman" w:eastAsia="楷体_GB2312"/>
          <w:sz w:val="24"/>
        </w:rPr>
      </w:pPr>
      <w:r>
        <w:rPr>
          <w:rFonts w:ascii="Times New Roman" w:hAnsi="Times New Roman" w:eastAsia="楷体_GB2312"/>
          <w:sz w:val="24"/>
        </w:rPr>
        <w:t>在本合同签署之日以及“信托设立日”，“受托人”为本合同双方的利益陈述和保证如下：</w:t>
      </w:r>
    </w:p>
    <w:p w14:paraId="73CCF4BB">
      <w:pPr>
        <w:numPr>
          <w:ilvl w:val="2"/>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按照“中国”“法律”正式注册成立并有效存续，具有全部的权利和授权，以继续进行其正在进行之业务以及享有本合同和其作为一方的其他“交易文件”项下的权利，并履行本合同和其作为一方的其他“交易文件”项下的义务；</w:t>
      </w:r>
    </w:p>
    <w:p w14:paraId="18D597DB">
      <w:pPr>
        <w:numPr>
          <w:ilvl w:val="2"/>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已履行一切必要的内部程序获取授权以签署并履行本合同以及其作为一方的其他“交易文件”，本合同以及其作为一方的其他“交易文件”构成“受托人”合法的、有效的和有约束力的义务，并可按照前述协议的条款对其主张权利（除非该等权利的主张受到现时或未来有效并涉及影响债权人的权利和救济的破产、重整、和解或其他类似法律的限制）；</w:t>
      </w:r>
    </w:p>
    <w:p w14:paraId="552F7204">
      <w:pPr>
        <w:numPr>
          <w:ilvl w:val="2"/>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“受托人”已为签署和交付本合同以及其作为一方的其他“交易文件”并履行本合同和该等“交易文件”项下的义务取得了全部必要的同意、许可或批准，并已办理了全部必要的备案、登记和通知手续；</w:t>
      </w:r>
    </w:p>
    <w:p w14:paraId="1835EBE8">
      <w:pPr>
        <w:numPr>
          <w:ilvl w:val="2"/>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就“受托人”所知，本合同签署之日，“受托人”签署、交付和履行本合同以及其作为一方的其他“交易文件”，第一，不违反或抵触适用于“受托人”的任何“法律”的规定或其他政府机构的指令，而无论该等政府机构的指令是否具有法律强制力；第二，不违反“受托人”的公司章程等组织性文件；第三，不违反或导致“受托人”违反其作为一方或对其或其财产有约束力的任何协议或契据的约定；第四，不会构成违约或因通知、时间的流逝即会在任何该等协议或契据项下构成违约的事件；</w:t>
      </w:r>
    </w:p>
    <w:p w14:paraId="67A7DEB3">
      <w:pPr>
        <w:numPr>
          <w:ilvl w:val="2"/>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就“受托人”所知，本合同签署之日，没有任何未决的或拟将进行的诉讼、仲裁及任何政府机构的行为、程序或调查，质疑本合同、“受托人”作为一方的其他“交易文件”或根据本合同或其他任何“交易文件”已采取或将要采取的行动的有效性，或很可能导致“受托人”的业务、经营、事务、财务和其他状况、财产或资产发生任何“重大不利变化”；</w:t>
      </w:r>
    </w:p>
    <w:p w14:paraId="2E175471">
      <w:pPr>
        <w:numPr>
          <w:ilvl w:val="2"/>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就“受托人”所知，本合同签署之日，未出现或持续存在任何事件，也不存在任何状况，且完成本合同以及“受托人”作为一方的其他“交易文件”项下的交易也不会导致任何事件或状况，构成违反或被合理预期构成或导致违反“受托人”作为一方或对其或其财产有约束力的任何协议或契据的任何条款，或构成“受托人解任事件”；</w:t>
      </w:r>
    </w:p>
    <w:p w14:paraId="500F3D9B">
      <w:pPr>
        <w:numPr>
          <w:ilvl w:val="2"/>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“受托人”未曾采取任何行动，导致在“信托财产”和相关“账户记录”上设定任何“担保”；</w:t>
      </w:r>
    </w:p>
    <w:p w14:paraId="73BB32E1">
      <w:pPr>
        <w:numPr>
          <w:ilvl w:val="2"/>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“信托受益权”构成“受托人”作为本合同项下“受托人”的有效的、合法的、有约束力的支付义务（以“信托财产”为限），并可按照其条款和本合同的条款对其主张权利；以及</w:t>
      </w:r>
    </w:p>
    <w:p w14:paraId="6F9BDE31">
      <w:pPr>
        <w:numPr>
          <w:ilvl w:val="2"/>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“受托人”在“交易文件”中（无论是作为“受托人”还是“发行人”）作出的陈述和保证，在所有重大方面均真实、完整和正确。</w:t>
      </w:r>
    </w:p>
    <w:p w14:paraId="49A7F2C3">
      <w:pPr>
        <w:numPr>
          <w:ilvl w:val="0"/>
          <w:numId w:val="6"/>
        </w:numPr>
        <w:spacing w:before="156" w:beforeLines="50" w:after="156" w:afterLines="50" w:line="360" w:lineRule="auto"/>
        <w:outlineLvl w:val="0"/>
        <w:rPr>
          <w:rFonts w:ascii="Times New Roman" w:hAnsi="Times New Roman" w:eastAsia="楷体_GB2312"/>
          <w:b/>
          <w:sz w:val="24"/>
        </w:rPr>
      </w:pPr>
      <w:bookmarkStart w:id="273" w:name="_Toc340404044"/>
      <w:bookmarkEnd w:id="273"/>
      <w:bookmarkStart w:id="274" w:name="_Toc340404041"/>
      <w:bookmarkEnd w:id="274"/>
      <w:bookmarkStart w:id="275" w:name="_Toc340404036"/>
      <w:bookmarkEnd w:id="275"/>
      <w:bookmarkStart w:id="276" w:name="_Toc340404048"/>
      <w:bookmarkEnd w:id="276"/>
      <w:bookmarkStart w:id="277" w:name="_Toc340404047"/>
      <w:bookmarkEnd w:id="277"/>
      <w:bookmarkStart w:id="278" w:name="_Toc340404052"/>
      <w:bookmarkEnd w:id="278"/>
      <w:bookmarkStart w:id="279" w:name="_Toc340404040"/>
      <w:bookmarkEnd w:id="279"/>
      <w:bookmarkStart w:id="280" w:name="_Toc340404039"/>
      <w:bookmarkEnd w:id="280"/>
      <w:bookmarkStart w:id="281" w:name="_Toc340404037"/>
      <w:bookmarkEnd w:id="281"/>
      <w:bookmarkStart w:id="282" w:name="_Toc340404045"/>
      <w:bookmarkEnd w:id="282"/>
      <w:bookmarkStart w:id="283" w:name="_Toc340404033"/>
      <w:bookmarkEnd w:id="283"/>
      <w:bookmarkStart w:id="284" w:name="_Toc340404043"/>
      <w:bookmarkEnd w:id="284"/>
      <w:bookmarkStart w:id="285" w:name="_Toc340404034"/>
      <w:bookmarkEnd w:id="285"/>
      <w:bookmarkStart w:id="286" w:name="_Toc340404054"/>
      <w:bookmarkEnd w:id="286"/>
      <w:bookmarkStart w:id="287" w:name="_Toc340404049"/>
      <w:bookmarkEnd w:id="287"/>
      <w:bookmarkStart w:id="288" w:name="_Toc340404053"/>
      <w:bookmarkEnd w:id="288"/>
      <w:bookmarkStart w:id="289" w:name="_Toc340404035"/>
      <w:bookmarkEnd w:id="289"/>
      <w:bookmarkStart w:id="290" w:name="_Toc340404038"/>
      <w:bookmarkEnd w:id="290"/>
      <w:bookmarkStart w:id="291" w:name="_Toc340404050"/>
      <w:bookmarkEnd w:id="291"/>
      <w:bookmarkStart w:id="292" w:name="_Toc340404051"/>
      <w:bookmarkEnd w:id="292"/>
      <w:bookmarkStart w:id="293" w:name="_Toc340404042"/>
      <w:bookmarkEnd w:id="293"/>
      <w:bookmarkStart w:id="294" w:name="_Toc340404046"/>
      <w:bookmarkEnd w:id="294"/>
      <w:bookmarkStart w:id="295" w:name="_Toc227694328"/>
      <w:r>
        <w:rPr>
          <w:rFonts w:ascii="Times New Roman" w:hAnsi="Times New Roman" w:eastAsia="楷体_GB2312"/>
          <w:b/>
          <w:sz w:val="24"/>
        </w:rPr>
        <w:t>受益人的权利与义务</w:t>
      </w:r>
      <w:bookmarkEnd w:id="295"/>
    </w:p>
    <w:p w14:paraId="4B191182">
      <w:pPr>
        <w:spacing w:line="360" w:lineRule="auto"/>
        <w:ind w:left="425"/>
        <w:rPr>
          <w:rFonts w:ascii="Times New Roman" w:hAnsi="Times New Roman" w:eastAsia="楷体_GB2312"/>
          <w:b/>
          <w:bCs/>
          <w:i/>
          <w:iCs/>
          <w:color w:val="FF0000"/>
          <w:sz w:val="24"/>
        </w:rPr>
      </w:pPr>
      <w:r>
        <w:rPr>
          <w:rFonts w:ascii="Times New Roman" w:hAnsi="Times New Roman" w:eastAsia="楷体_GB2312"/>
          <w:b/>
          <w:bCs/>
          <w:i/>
          <w:iCs/>
          <w:color w:val="FF0000"/>
          <w:sz w:val="24"/>
        </w:rPr>
        <w:t>【注：受益人的权利、义务条款可根据项目具体情况进行补充或调整。】</w:t>
      </w:r>
    </w:p>
    <w:p w14:paraId="1BC18CEF">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受益人的权利</w:t>
      </w:r>
    </w:p>
    <w:p w14:paraId="6B486518">
      <w:pPr>
        <w:numPr>
          <w:ilvl w:val="0"/>
          <w:numId w:val="15"/>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资产支持证券持有人”有权按本合同约定享有与其持有“资产支持证券”类别和数额对应的“信托受益权”，并参与相关“信托利益”的分配，有权按照本合同的约定参加“资产支持证券持有人大会”，行使相应的权利。</w:t>
      </w:r>
    </w:p>
    <w:p w14:paraId="535B335E">
      <w:pPr>
        <w:numPr>
          <w:ilvl w:val="0"/>
          <w:numId w:val="15"/>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在“信托期限”内，“资产支持证券持有人”可以根据本合同的约定及相关市场规则，依法转让其所持有的“资产支持证券”，但“法律”规定不得转让的情形除外。</w:t>
      </w:r>
    </w:p>
    <w:p w14:paraId="6CCE7B7B">
      <w:pPr>
        <w:numPr>
          <w:ilvl w:val="0"/>
          <w:numId w:val="15"/>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“受益人”有权按照本合同约定向“受托人”了解“信托财产”的管理、处分及收支情况。</w:t>
      </w:r>
    </w:p>
    <w:p w14:paraId="486411D3">
      <w:pPr>
        <w:numPr>
          <w:ilvl w:val="0"/>
          <w:numId w:val="15"/>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“资产支持证券持有人”有权依法查阅或者复制公开披露的“信托财产”和“资产支持证券”信息资料。</w:t>
      </w:r>
    </w:p>
    <w:p w14:paraId="420C941C">
      <w:pPr>
        <w:numPr>
          <w:ilvl w:val="0"/>
          <w:numId w:val="15"/>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在发生“受托人”违反信托目的处分“信托财产”或者因违背管理职责、处理信托事务不当致使“信托财产”受到损失的情形下，“资产支持证券持有人”有权通过“资产支持证券持有人大会”申请人民法院撤销该处分行为，并有权要求受托人恢复“信托财产”的原状或者予以合理赔偿。“资产支持证券持有人”的撤销权自“资产支持证券持有人”知道或者应当知道撤销原因之日起一年内不行使的，归于消灭。</w:t>
      </w:r>
    </w:p>
    <w:p w14:paraId="779AC272">
      <w:pPr>
        <w:numPr>
          <w:ilvl w:val="0"/>
          <w:numId w:val="15"/>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在发生“受托人”或各相关服务机构（包括“贷款服务机构”及“资金保管机构”）违反信托目的处分“信托财产”或者管理、处分“信托财产”有重大过失的情形下，“资产支持证券持有人”有权通过“资产支持证券持有人大会”，按照本合同的约定解任“受托人”、各相关服务机构（包括“贷款服务机构”及“资金保管机构”）。</w:t>
      </w:r>
    </w:p>
    <w:p w14:paraId="07228C2C">
      <w:pPr>
        <w:numPr>
          <w:ilvl w:val="0"/>
          <w:numId w:val="15"/>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“资产支持证券持有人”有权按照本合同约定提议召开或者自行召开“资产支持证券持有人大会”。</w:t>
      </w:r>
    </w:p>
    <w:p w14:paraId="53683818">
      <w:pPr>
        <w:numPr>
          <w:ilvl w:val="0"/>
          <w:numId w:val="15"/>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“资产支持证券持有人”有权享有“法律”</w:t>
      </w:r>
      <w:r>
        <w:rPr>
          <w:rFonts w:hint="eastAsia" w:ascii="Times New Roman" w:hAnsi="Times New Roman" w:eastAsia="楷体_GB2312"/>
          <w:sz w:val="24"/>
        </w:rPr>
        <w:t>规定</w:t>
      </w:r>
      <w:r>
        <w:rPr>
          <w:rFonts w:ascii="Times New Roman" w:hAnsi="Times New Roman" w:eastAsia="楷体_GB2312"/>
          <w:sz w:val="24"/>
        </w:rPr>
        <w:t>和本合同约定的与本“信托”相关的其他权利。</w:t>
      </w:r>
    </w:p>
    <w:p w14:paraId="603CCED4">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受益人的义务</w:t>
      </w:r>
    </w:p>
    <w:p w14:paraId="17D77A41">
      <w:pPr>
        <w:numPr>
          <w:ilvl w:val="0"/>
          <w:numId w:val="16"/>
        </w:numPr>
        <w:spacing w:before="156" w:beforeLines="50" w:after="156" w:afterLines="50" w:line="360" w:lineRule="auto"/>
        <w:rPr>
          <w:rFonts w:ascii="Times New Roman" w:hAnsi="Times New Roman" w:eastAsia="楷体_GB2312"/>
          <w:sz w:val="24"/>
        </w:rPr>
      </w:pPr>
      <w:bookmarkStart w:id="296" w:name="_Toc110153436"/>
      <w:bookmarkStart w:id="297" w:name="_Toc111281786"/>
      <w:bookmarkStart w:id="298" w:name="_Toc201569405"/>
      <w:r>
        <w:rPr>
          <w:rFonts w:ascii="Times New Roman" w:hAnsi="Times New Roman" w:eastAsia="楷体_GB2312"/>
          <w:sz w:val="24"/>
        </w:rPr>
        <w:t>“受益人”应按照本合同的约定合理善意行使“受益人”的权利，不得损害其他方或</w:t>
      </w:r>
      <w:r>
        <w:rPr>
          <w:rFonts w:hint="eastAsia" w:ascii="Times New Roman" w:hAnsi="Times New Roman" w:eastAsia="楷体_GB2312"/>
          <w:sz w:val="24"/>
        </w:rPr>
        <w:t>其他类别</w:t>
      </w:r>
      <w:r>
        <w:rPr>
          <w:rFonts w:ascii="Times New Roman" w:hAnsi="Times New Roman" w:eastAsia="楷体_GB2312"/>
          <w:sz w:val="24"/>
        </w:rPr>
        <w:t>“受益人”的合法权利和利益。</w:t>
      </w:r>
    </w:p>
    <w:p w14:paraId="4079BDEB">
      <w:pPr>
        <w:numPr>
          <w:ilvl w:val="0"/>
          <w:numId w:val="1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“受益人”对依本合同约定获得的有关本“信托”的所有非公开的信息负有保密义务。</w:t>
      </w:r>
    </w:p>
    <w:p w14:paraId="1977C3F4">
      <w:pPr>
        <w:numPr>
          <w:ilvl w:val="0"/>
          <w:numId w:val="1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“受益人”负有“法律”和本合同约定的其他与本“信托”相关的义务。</w:t>
      </w:r>
    </w:p>
    <w:p w14:paraId="22A52A7B">
      <w:pPr>
        <w:numPr>
          <w:ilvl w:val="0"/>
          <w:numId w:val="6"/>
        </w:numPr>
        <w:spacing w:before="156" w:beforeLines="50" w:after="156" w:afterLines="50" w:line="360" w:lineRule="auto"/>
        <w:outlineLvl w:val="0"/>
        <w:rPr>
          <w:rFonts w:ascii="Times New Roman" w:hAnsi="Times New Roman" w:eastAsia="楷体_GB2312"/>
          <w:b/>
          <w:sz w:val="24"/>
        </w:rPr>
      </w:pPr>
      <w:bookmarkStart w:id="299" w:name="_Toc227694329"/>
      <w:r>
        <w:rPr>
          <w:rFonts w:ascii="Times New Roman" w:hAnsi="Times New Roman" w:eastAsia="楷体_GB2312"/>
          <w:b/>
          <w:sz w:val="24"/>
        </w:rPr>
        <w:t>信</w:t>
      </w:r>
      <w:bookmarkStart w:id="300" w:name="_Toc92612923"/>
      <w:r>
        <w:rPr>
          <w:rFonts w:ascii="Times New Roman" w:hAnsi="Times New Roman" w:eastAsia="楷体_GB2312"/>
          <w:b/>
          <w:sz w:val="24"/>
        </w:rPr>
        <w:t>托受益权</w:t>
      </w:r>
      <w:bookmarkEnd w:id="296"/>
      <w:bookmarkEnd w:id="297"/>
      <w:r>
        <w:rPr>
          <w:rFonts w:ascii="Times New Roman" w:hAnsi="Times New Roman" w:eastAsia="楷体_GB2312"/>
          <w:b/>
          <w:sz w:val="24"/>
        </w:rPr>
        <w:t>和资产支持证券</w:t>
      </w:r>
      <w:bookmarkEnd w:id="298"/>
      <w:bookmarkEnd w:id="299"/>
    </w:p>
    <w:bookmarkEnd w:id="300"/>
    <w:p w14:paraId="355B650F">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bookmarkStart w:id="301" w:name="_Toc201569406"/>
      <w:bookmarkStart w:id="302" w:name="_Toc111281787"/>
      <w:r>
        <w:rPr>
          <w:rFonts w:ascii="Times New Roman" w:hAnsi="Times New Roman" w:eastAsia="楷体_GB2312"/>
          <w:b/>
          <w:sz w:val="24"/>
        </w:rPr>
        <w:t>信托受益权</w:t>
      </w:r>
      <w:bookmarkEnd w:id="301"/>
      <w:bookmarkEnd w:id="302"/>
    </w:p>
    <w:p w14:paraId="0E40C905">
      <w:pPr>
        <w:tabs>
          <w:tab w:val="left" w:pos="2160"/>
        </w:tabs>
        <w:spacing w:before="156" w:beforeLines="50" w:after="156" w:afterLines="50" w:line="360" w:lineRule="auto"/>
        <w:ind w:left="900"/>
        <w:rPr>
          <w:rStyle w:val="79"/>
          <w:rFonts w:ascii="Times New Roman" w:hAnsi="Times New Roman" w:eastAsia="楷体_GB2312"/>
          <w:color w:val="auto"/>
          <w:w w:val="0"/>
          <w:sz w:val="24"/>
          <w:u w:val="none"/>
        </w:rPr>
      </w:pPr>
      <w:bookmarkStart w:id="303" w:name="_DV_C377"/>
      <w:r>
        <w:rPr>
          <w:rStyle w:val="79"/>
          <w:rFonts w:ascii="Times New Roman" w:hAnsi="Times New Roman" w:eastAsia="楷体_GB2312"/>
          <w:color w:val="auto"/>
          <w:w w:val="0"/>
          <w:sz w:val="24"/>
          <w:u w:val="none"/>
        </w:rPr>
        <w:t>“信托”项下的“信托受益权”分为“优先级受益权”和“次级受益权”</w:t>
      </w:r>
      <w:bookmarkEnd w:id="303"/>
      <w:r>
        <w:rPr>
          <w:rStyle w:val="79"/>
          <w:rFonts w:ascii="Times New Roman" w:hAnsi="Times New Roman" w:eastAsia="楷体_GB2312"/>
          <w:color w:val="auto"/>
          <w:w w:val="0"/>
          <w:sz w:val="24"/>
          <w:u w:val="none"/>
        </w:rPr>
        <w:t>，“优先级受益权”又分为“优先A级受益权”和“优先B级受益权”，分别由相应档次的“资产支持证券”所表示，“次级受益权”由“次级资产支持证券”表示。除本合同约定的以外，“信托”不产生任何其他受益权，且“信托”中的受益权无进一步分割。</w:t>
      </w:r>
    </w:p>
    <w:p w14:paraId="666C6CC0">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bookmarkStart w:id="304" w:name="_Toc111281788"/>
      <w:bookmarkStart w:id="305" w:name="_Toc201569407"/>
      <w:r>
        <w:rPr>
          <w:rFonts w:ascii="Times New Roman" w:hAnsi="Times New Roman" w:eastAsia="楷体_GB2312"/>
          <w:b/>
          <w:sz w:val="24"/>
        </w:rPr>
        <w:t>资产支持证券</w:t>
      </w:r>
      <w:bookmarkEnd w:id="304"/>
      <w:bookmarkEnd w:id="305"/>
    </w:p>
    <w:p w14:paraId="6894FAD5">
      <w:pPr>
        <w:tabs>
          <w:tab w:val="left" w:pos="2160"/>
        </w:tabs>
        <w:spacing w:line="360" w:lineRule="auto"/>
        <w:ind w:left="840"/>
        <w:rPr>
          <w:rFonts w:ascii="Times New Roman" w:hAnsi="Times New Roman" w:eastAsia="楷体_GB2312"/>
          <w:b/>
          <w:i/>
          <w:iCs/>
          <w:color w:val="FF0000"/>
          <w:sz w:val="24"/>
        </w:rPr>
      </w:pPr>
      <w:r>
        <w:rPr>
          <w:rFonts w:hint="eastAsia" w:ascii="Times New Roman" w:hAnsi="Times New Roman" w:eastAsia="楷体_GB2312"/>
          <w:b/>
          <w:i/>
          <w:iCs/>
          <w:color w:val="FF0000"/>
          <w:sz w:val="24"/>
        </w:rPr>
        <w:t>【</w:t>
      </w:r>
      <w:r>
        <w:rPr>
          <w:rFonts w:ascii="Times New Roman" w:hAnsi="Times New Roman" w:eastAsia="楷体_GB2312"/>
          <w:b/>
          <w:i/>
          <w:iCs/>
          <w:color w:val="FF0000"/>
          <w:sz w:val="24"/>
        </w:rPr>
        <w:t>注：资产支持证券的类别、各级别基本特征条款可根据具体项目的需要进一步细分或调整。</w:t>
      </w:r>
      <w:r>
        <w:rPr>
          <w:rFonts w:hint="eastAsia" w:ascii="Times New Roman" w:hAnsi="Times New Roman" w:eastAsia="楷体_GB2312"/>
          <w:b/>
          <w:i/>
          <w:iCs/>
          <w:color w:val="FF0000"/>
          <w:sz w:val="24"/>
        </w:rPr>
        <w:t>】</w:t>
      </w:r>
    </w:p>
    <w:p w14:paraId="3667AB99">
      <w:pPr>
        <w:numPr>
          <w:ilvl w:val="2"/>
          <w:numId w:val="6"/>
        </w:numPr>
        <w:spacing w:before="156" w:beforeLines="50" w:after="156" w:afterLines="50" w:line="360" w:lineRule="auto"/>
        <w:rPr>
          <w:rFonts w:ascii="Times New Roman" w:hAnsi="Times New Roman" w:eastAsia="楷体_GB2312"/>
          <w:sz w:val="24"/>
        </w:rPr>
      </w:pPr>
      <w:bookmarkStart w:id="306" w:name="_DV_C379"/>
      <w:r>
        <w:rPr>
          <w:rFonts w:ascii="Times New Roman" w:hAnsi="Times New Roman" w:eastAsia="楷体_GB2312"/>
          <w:sz w:val="24"/>
        </w:rPr>
        <w:t>“资产支持证券”分为“优先级资产支持证券”和“次级资产支持证券”</w:t>
      </w:r>
      <w:bookmarkEnd w:id="306"/>
      <w:r>
        <w:rPr>
          <w:rFonts w:ascii="Times New Roman" w:hAnsi="Times New Roman" w:eastAsia="楷体_GB2312"/>
          <w:sz w:val="24"/>
        </w:rPr>
        <w:t>。“优先级资产支持证券”包括“优先A级资产支持证券”和“优先B级资产支持证券”。</w:t>
      </w:r>
    </w:p>
    <w:p w14:paraId="422EEDD7">
      <w:pPr>
        <w:numPr>
          <w:ilvl w:val="2"/>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在“资产支持证券”发行之日，全部“资产支持证券”的发行总量（面值）为【】元，各档“资产支持证券”的总面值及其他特征详见本合同第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_Ref201565513 \r \h  \* MERGEFORMAT </w:instrText>
      </w:r>
      <w:r>
        <w:rPr>
          <w:rFonts w:ascii="Times New Roman" w:hAnsi="Times New Roman" w:eastAsia="楷体_GB2312"/>
          <w:sz w:val="24"/>
        </w:rPr>
        <w:fldChar w:fldCharType="separate"/>
      </w:r>
      <w:r>
        <w:rPr>
          <w:rFonts w:ascii="Times New Roman" w:hAnsi="Times New Roman" w:eastAsia="楷体_GB2312"/>
          <w:sz w:val="24"/>
        </w:rPr>
        <w:t>9.4</w:t>
      </w:r>
      <w:r>
        <w:rPr>
          <w:rFonts w:ascii="Times New Roman" w:hAnsi="Times New Roman" w:eastAsia="楷体_GB2312"/>
          <w:sz w:val="24"/>
        </w:rPr>
        <w:fldChar w:fldCharType="end"/>
      </w:r>
      <w:r>
        <w:rPr>
          <w:rFonts w:ascii="Times New Roman" w:hAnsi="Times New Roman" w:eastAsia="楷体_GB2312"/>
          <w:sz w:val="24"/>
        </w:rPr>
        <w:t>款至</w:t>
      </w:r>
      <w:r>
        <w:rPr>
          <w:rFonts w:ascii="Times New Roman" w:hAnsi="Times New Roman" w:eastAsia="楷体_GB2312"/>
          <w:sz w:val="24"/>
        </w:rPr>
        <w:fldChar w:fldCharType="begin"/>
      </w:r>
      <w:r>
        <w:rPr>
          <w:rFonts w:ascii="Times New Roman" w:hAnsi="Times New Roman" w:eastAsia="楷体_GB2312"/>
          <w:sz w:val="24"/>
        </w:rPr>
        <w:instrText xml:space="preserve"> REF _Ref340392843 \r \h  \* MERGEFORMAT </w:instrText>
      </w:r>
      <w:r>
        <w:rPr>
          <w:rFonts w:ascii="Times New Roman" w:hAnsi="Times New Roman" w:eastAsia="楷体_GB2312"/>
          <w:sz w:val="24"/>
        </w:rPr>
        <w:fldChar w:fldCharType="separate"/>
      </w:r>
      <w:r>
        <w:rPr>
          <w:rFonts w:ascii="Times New Roman" w:hAnsi="Times New Roman" w:eastAsia="楷体_GB2312"/>
          <w:sz w:val="24"/>
        </w:rPr>
        <w:t>9.6</w:t>
      </w:r>
      <w:r>
        <w:rPr>
          <w:rFonts w:ascii="Times New Roman" w:hAnsi="Times New Roman" w:eastAsia="楷体_GB2312"/>
          <w:sz w:val="24"/>
        </w:rPr>
        <w:fldChar w:fldCharType="end"/>
      </w:r>
      <w:r>
        <w:rPr>
          <w:rFonts w:ascii="Times New Roman" w:hAnsi="Times New Roman" w:eastAsia="楷体_GB2312"/>
          <w:sz w:val="24"/>
        </w:rPr>
        <w:t>款的约定。</w:t>
      </w:r>
    </w:p>
    <w:p w14:paraId="1D67221B">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资产支持证券持有人名单</w:t>
      </w:r>
    </w:p>
    <w:p w14:paraId="189426D9">
      <w:pPr>
        <w:numPr>
          <w:ilvl w:val="2"/>
          <w:numId w:val="6"/>
        </w:numPr>
        <w:spacing w:before="156" w:beforeLines="50" w:after="156" w:afterLines="50" w:line="360" w:lineRule="auto"/>
        <w:outlineLvl w:val="1"/>
        <w:rPr>
          <w:rFonts w:ascii="Times New Roman" w:hAnsi="Times New Roman" w:eastAsia="楷体_GB2312"/>
          <w:sz w:val="24"/>
        </w:rPr>
      </w:pPr>
      <w:r>
        <w:rPr>
          <w:rFonts w:ascii="Times New Roman" w:hAnsi="Times New Roman" w:eastAsia="楷体_GB2312"/>
          <w:sz w:val="24"/>
        </w:rPr>
        <w:t>在“支付日”前</w:t>
      </w:r>
      <w:r>
        <w:rPr>
          <w:rFonts w:ascii="Times New Roman" w:hAnsi="Times New Roman" w:eastAsia="楷体_GB2312"/>
          <w:b/>
          <w:sz w:val="24"/>
        </w:rPr>
        <w:t>【】</w:t>
      </w:r>
      <w:r>
        <w:rPr>
          <w:rFonts w:ascii="Times New Roman" w:hAnsi="Times New Roman" w:eastAsia="楷体_GB2312"/>
          <w:sz w:val="24"/>
        </w:rPr>
        <w:t>个“工作日”，由“登记托管机构”登记于资产支持证券持有人名单上的“资产支持证券持有人”为享有当期本息的“资产支持证券持有人”，有权于该“支付日”取得“资产支持证券”在当期的本金和利息。</w:t>
      </w:r>
    </w:p>
    <w:p w14:paraId="06A31FCA">
      <w:pPr>
        <w:numPr>
          <w:ilvl w:val="2"/>
          <w:numId w:val="6"/>
        </w:numPr>
        <w:spacing w:before="156" w:beforeLines="50" w:after="156" w:afterLines="50" w:line="360" w:lineRule="auto"/>
        <w:outlineLvl w:val="1"/>
        <w:rPr>
          <w:rFonts w:ascii="Times New Roman" w:hAnsi="Times New Roman" w:eastAsia="楷体_GB2312"/>
          <w:sz w:val="24"/>
        </w:rPr>
      </w:pPr>
      <w:r>
        <w:rPr>
          <w:rFonts w:ascii="Times New Roman" w:hAnsi="Times New Roman" w:eastAsia="楷体_GB2312"/>
          <w:sz w:val="24"/>
        </w:rPr>
        <w:t>“资产支持证券持有人”在“登记托管机构”登记的信息发生变化时，该“资产支持证券持有人”应通知“受托人”和“登记托管机构”，由“受托人”和“登记托管机构”进行审核后作出相应的变更登记。如果“资产支持证券持有人”上述相关情况发生变化后未及时通知“受托人”及“登记托管机构”，则“资产支持证券持有人”承担因此造成的风险，“受托人”和“登记托管机构”不承担责任。</w:t>
      </w:r>
    </w:p>
    <w:p w14:paraId="3B072A67">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bookmarkStart w:id="307" w:name="_DV_M262"/>
      <w:bookmarkEnd w:id="307"/>
      <w:bookmarkStart w:id="308" w:name="_DV_M260"/>
      <w:bookmarkEnd w:id="308"/>
      <w:bookmarkStart w:id="309" w:name="_DV_M259"/>
      <w:bookmarkEnd w:id="309"/>
      <w:bookmarkStart w:id="310" w:name="_DV_M261"/>
      <w:bookmarkEnd w:id="310"/>
      <w:bookmarkStart w:id="311" w:name="_DV_M258"/>
      <w:bookmarkEnd w:id="311"/>
      <w:bookmarkStart w:id="312" w:name="_DV_M257"/>
      <w:bookmarkEnd w:id="312"/>
      <w:r>
        <w:rPr>
          <w:rFonts w:ascii="Times New Roman" w:hAnsi="Times New Roman" w:eastAsia="楷体_GB2312"/>
          <w:b/>
          <w:sz w:val="24"/>
        </w:rPr>
        <w:t>优先A级资产支持证券的基本特征</w:t>
      </w:r>
    </w:p>
    <w:p w14:paraId="1CF276BB">
      <w:pPr>
        <w:numPr>
          <w:ilvl w:val="2"/>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b/>
          <w:sz w:val="24"/>
        </w:rPr>
        <w:t>“优先A级资产支持证券”的比例：</w:t>
      </w:r>
      <w:r>
        <w:rPr>
          <w:rFonts w:ascii="Times New Roman" w:hAnsi="Times New Roman" w:eastAsia="楷体_GB2312"/>
          <w:sz w:val="24"/>
        </w:rPr>
        <w:t>在“资产支持证券”发行之日，“优先A级资产支持证券”的发行总量（面值）为【】元人民币，占发行总量（面值）的【】%。</w:t>
      </w:r>
    </w:p>
    <w:p w14:paraId="1CC19816">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面值：</w:t>
      </w:r>
      <w:r>
        <w:rPr>
          <w:rFonts w:ascii="Times New Roman" w:hAnsi="Times New Roman" w:eastAsia="楷体_GB2312"/>
          <w:sz w:val="24"/>
        </w:rPr>
        <w:t>每张“优先A级资产支持证券”的面值为人民币100元。</w:t>
      </w:r>
    </w:p>
    <w:p w14:paraId="49F447A7">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发行价格：</w:t>
      </w:r>
      <w:r>
        <w:rPr>
          <w:rFonts w:ascii="Times New Roman" w:hAnsi="Times New Roman" w:eastAsia="楷体_GB2312"/>
          <w:sz w:val="24"/>
        </w:rPr>
        <w:t>按面值发行。</w:t>
      </w:r>
    </w:p>
    <w:p w14:paraId="3B6DAC55">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票面利率：</w:t>
      </w:r>
      <w:r>
        <w:rPr>
          <w:rFonts w:ascii="Times New Roman" w:hAnsi="Times New Roman" w:eastAsia="楷体_GB2312"/>
          <w:sz w:val="24"/>
        </w:rPr>
        <w:t>票面利率为固定利率，根据“簿记建档”结果确定。</w:t>
      </w:r>
    </w:p>
    <w:p w14:paraId="79790A79">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期限：</w:t>
      </w:r>
      <w:r>
        <w:rPr>
          <w:rFonts w:ascii="Times New Roman" w:hAnsi="Times New Roman" w:eastAsia="楷体_GB2312"/>
          <w:sz w:val="24"/>
        </w:rPr>
        <w:t>自“信托设立日”（含该日）至“法定到期日”止（不含该日）。“法定到期日”并不是</w:t>
      </w:r>
      <w:r>
        <w:rPr>
          <w:rFonts w:ascii="Times New Roman" w:hAnsi="Times New Roman" w:eastAsia="楷体_GB2312"/>
          <w:bCs/>
          <w:sz w:val="24"/>
        </w:rPr>
        <w:t>“</w:t>
      </w:r>
      <w:r>
        <w:rPr>
          <w:rFonts w:ascii="Times New Roman" w:hAnsi="Times New Roman" w:eastAsia="楷体_GB2312"/>
          <w:sz w:val="24"/>
        </w:rPr>
        <w:t>优先A级资产支持证券”的实际到期日，“优先A级资产支持证券”的本金将可能于“法定到期日”前清偿完毕。</w:t>
      </w:r>
    </w:p>
    <w:p w14:paraId="3393BCBE">
      <w:pPr>
        <w:numPr>
          <w:ilvl w:val="2"/>
          <w:numId w:val="6"/>
        </w:numPr>
        <w:tabs>
          <w:tab w:val="left" w:pos="900"/>
        </w:tabs>
        <w:spacing w:before="156" w:beforeLines="50" w:after="156" w:afterLines="50" w:line="360" w:lineRule="auto"/>
        <w:ind w:left="1620" w:hanging="769"/>
        <w:rPr>
          <w:rStyle w:val="79"/>
          <w:rFonts w:ascii="Times New Roman" w:hAnsi="Times New Roman" w:eastAsia="楷体_GB2312"/>
          <w:color w:val="auto"/>
          <w:w w:val="0"/>
          <w:sz w:val="24"/>
          <w:u w:val="none"/>
        </w:rPr>
      </w:pPr>
      <w:r>
        <w:rPr>
          <w:rStyle w:val="79"/>
          <w:rFonts w:ascii="Times New Roman" w:hAnsi="Times New Roman" w:eastAsia="楷体_GB2312"/>
          <w:b/>
          <w:color w:val="auto"/>
          <w:w w:val="0"/>
          <w:sz w:val="24"/>
          <w:u w:val="none"/>
        </w:rPr>
        <w:t>法定到期日</w:t>
      </w:r>
      <w:r>
        <w:rPr>
          <w:rStyle w:val="79"/>
          <w:rFonts w:ascii="Times New Roman" w:hAnsi="Times New Roman" w:eastAsia="楷体_GB2312"/>
          <w:color w:val="auto"/>
          <w:w w:val="0"/>
          <w:sz w:val="24"/>
          <w:u w:val="none"/>
        </w:rPr>
        <w:t>：【】年【】月【】日。</w:t>
      </w:r>
    </w:p>
    <w:p w14:paraId="45BC975F">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计息期间：</w:t>
      </w:r>
      <w:r>
        <w:rPr>
          <w:rFonts w:ascii="Times New Roman" w:hAnsi="Times New Roman" w:eastAsia="楷体_GB2312"/>
          <w:sz w:val="24"/>
        </w:rPr>
        <w:t>一个“计息日”（含该日）到下一个“计息日”（不含该日）的期间。其中，第一个“计息期间”指“信托设立日”（含该日）开始并于第一个“计息日”（不含该日）结束。</w:t>
      </w:r>
    </w:p>
    <w:p w14:paraId="6F07E2E3">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计息方式：</w:t>
      </w:r>
      <w:r>
        <w:rPr>
          <w:rFonts w:ascii="Times New Roman" w:hAnsi="Times New Roman" w:eastAsia="楷体_GB2312"/>
          <w:sz w:val="24"/>
        </w:rPr>
        <w:t>在每一个“支付日”应支付的“优先A级资产支持证券”利息=“优先A级资产支持证券”在前一个“支付日”偿付后的“未偿本金余额”（就第一个“支付日”而言，即“优先A级资产支持证券”在“信托设立日”的面值）×票面利率×“计息期间”实际天数÷365天；尾数计算到分，分以下四舍五入；单利计息。</w:t>
      </w:r>
    </w:p>
    <w:p w14:paraId="1C981454">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还本付息方式：</w:t>
      </w:r>
      <w:r>
        <w:rPr>
          <w:rFonts w:ascii="Times New Roman" w:hAnsi="Times New Roman" w:eastAsia="楷体_GB2312"/>
          <w:sz w:val="24"/>
        </w:rPr>
        <w:t>在每一个“支付日”，根据本合同第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_Ref201563930 \r \h  \* MERGEFORMAT </w:instrText>
      </w:r>
      <w:r>
        <w:rPr>
          <w:rFonts w:ascii="Times New Roman" w:hAnsi="Times New Roman" w:eastAsia="楷体_GB2312"/>
          <w:sz w:val="24"/>
        </w:rPr>
        <w:fldChar w:fldCharType="separate"/>
      </w:r>
      <w:r>
        <w:rPr>
          <w:rFonts w:ascii="Times New Roman" w:hAnsi="Times New Roman" w:eastAsia="楷体_GB2312"/>
          <w:sz w:val="24"/>
        </w:rPr>
        <w:t>11</w:t>
      </w:r>
      <w:r>
        <w:rPr>
          <w:rFonts w:ascii="Times New Roman" w:hAnsi="Times New Roman" w:eastAsia="楷体_GB2312"/>
          <w:sz w:val="24"/>
        </w:rPr>
        <w:fldChar w:fldCharType="end"/>
      </w:r>
      <w:r>
        <w:rPr>
          <w:rFonts w:ascii="Times New Roman" w:hAnsi="Times New Roman" w:eastAsia="楷体_GB2312"/>
          <w:sz w:val="24"/>
        </w:rPr>
        <w:t>条约定的支付顺序进行支付。其中：本金还款金额的计算方式按照本合同约定的“资产支持证券”本金还款金额计算方式（见本合同</w:t>
      </w:r>
      <w:r>
        <w:rPr>
          <w:rFonts w:ascii="Times New Roman" w:hAnsi="Times New Roman" w:eastAsia="楷体_GB2312"/>
          <w:b/>
          <w:i/>
          <w:sz w:val="24"/>
        </w:rPr>
        <w:t>附件五</w:t>
      </w:r>
      <w:r>
        <w:rPr>
          <w:rFonts w:ascii="Times New Roman" w:hAnsi="Times New Roman" w:eastAsia="楷体_GB2312"/>
          <w:sz w:val="24"/>
        </w:rPr>
        <w:t>）进行。</w:t>
      </w:r>
    </w:p>
    <w:p w14:paraId="1150A9B8">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证券形式：</w:t>
      </w:r>
      <w:r>
        <w:rPr>
          <w:rFonts w:ascii="Times New Roman" w:hAnsi="Times New Roman" w:eastAsia="楷体_GB2312"/>
          <w:sz w:val="24"/>
        </w:rPr>
        <w:t>采用实名记账方式，由“登记托管机构”统一托管。</w:t>
      </w:r>
    </w:p>
    <w:p w14:paraId="5E8BAB18">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税收：</w:t>
      </w:r>
      <w:r>
        <w:rPr>
          <w:rFonts w:ascii="Times New Roman" w:hAnsi="Times New Roman" w:eastAsia="楷体_GB2312"/>
          <w:sz w:val="24"/>
        </w:rPr>
        <w:t>有关“优先A级资产支持证券”本金和利息的所有付款，如须依照适用的“法律”预提或扣除任何税收、规费或任何性质的政府收费，则“受托人”无需就该等预提或扣除支付任何额外的款项。</w:t>
      </w:r>
    </w:p>
    <w:p w14:paraId="2F2F9ADA">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币种：</w:t>
      </w:r>
      <w:r>
        <w:rPr>
          <w:rFonts w:ascii="Times New Roman" w:hAnsi="Times New Roman" w:eastAsia="楷体_GB2312"/>
          <w:sz w:val="24"/>
        </w:rPr>
        <w:t>人民币。</w:t>
      </w:r>
    </w:p>
    <w:p w14:paraId="50545C95">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信用级别：</w:t>
      </w:r>
      <w:r>
        <w:rPr>
          <w:rFonts w:ascii="Times New Roman" w:hAnsi="Times New Roman" w:eastAsia="楷体_GB2312"/>
          <w:sz w:val="24"/>
        </w:rPr>
        <w:t>在“资产支持证券”发行之日，“【评级机构1简称】”给予“优先A级资产支持证券”的信用级别为【】级，“【评级机构2简称】”给予“优先A级资产支持证券”的信用级别为【】级。</w:t>
      </w:r>
    </w:p>
    <w:p w14:paraId="4F70B398">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优先B级资产支持证券的基本特征</w:t>
      </w:r>
    </w:p>
    <w:p w14:paraId="31A6A48A">
      <w:pPr>
        <w:numPr>
          <w:ilvl w:val="2"/>
          <w:numId w:val="6"/>
        </w:numPr>
        <w:tabs>
          <w:tab w:val="left" w:pos="900"/>
        </w:tabs>
        <w:spacing w:before="156" w:beforeLines="50" w:after="156" w:afterLines="50" w:line="360" w:lineRule="auto"/>
        <w:ind w:left="1620" w:hanging="769"/>
        <w:rPr>
          <w:rFonts w:ascii="Times New Roman" w:hAnsi="Times New Roman" w:eastAsia="楷体_GB2312"/>
          <w:bCs/>
          <w:sz w:val="24"/>
        </w:rPr>
      </w:pPr>
      <w:r>
        <w:rPr>
          <w:rFonts w:ascii="Times New Roman" w:hAnsi="Times New Roman" w:eastAsia="楷体_GB2312"/>
          <w:b/>
          <w:sz w:val="24"/>
        </w:rPr>
        <w:t>“优先B级资产支持证券”的比例：</w:t>
      </w:r>
      <w:r>
        <w:rPr>
          <w:rFonts w:ascii="Times New Roman" w:hAnsi="Times New Roman" w:eastAsia="楷体_GB2312"/>
          <w:bCs/>
          <w:sz w:val="24"/>
        </w:rPr>
        <w:t>在“资产支持证券”发行之日，“优先B级资产支持证券”的发行总量（面值）为【】元人民币，占发行总量（面值）的【】%。</w:t>
      </w:r>
    </w:p>
    <w:p w14:paraId="6102FF33">
      <w:pPr>
        <w:numPr>
          <w:ilvl w:val="2"/>
          <w:numId w:val="6"/>
        </w:numPr>
        <w:tabs>
          <w:tab w:val="left" w:pos="900"/>
        </w:tabs>
        <w:spacing w:before="156" w:beforeLines="50" w:after="156" w:afterLines="50" w:line="360" w:lineRule="auto"/>
        <w:ind w:left="1620" w:hanging="769"/>
        <w:rPr>
          <w:rFonts w:ascii="Times New Roman" w:hAnsi="Times New Roman" w:eastAsia="楷体_GB2312"/>
          <w:b/>
          <w:sz w:val="24"/>
        </w:rPr>
      </w:pPr>
      <w:r>
        <w:rPr>
          <w:rFonts w:ascii="Times New Roman" w:hAnsi="Times New Roman" w:eastAsia="楷体_GB2312"/>
          <w:b/>
          <w:sz w:val="24"/>
        </w:rPr>
        <w:t>面值：</w:t>
      </w:r>
      <w:r>
        <w:rPr>
          <w:rFonts w:ascii="Times New Roman" w:hAnsi="Times New Roman" w:eastAsia="楷体_GB2312"/>
          <w:bCs/>
          <w:sz w:val="24"/>
        </w:rPr>
        <w:t>每张“优先B级资产支持证券”的面值为人民币100元。</w:t>
      </w:r>
    </w:p>
    <w:p w14:paraId="4B0522CA">
      <w:pPr>
        <w:numPr>
          <w:ilvl w:val="2"/>
          <w:numId w:val="6"/>
        </w:numPr>
        <w:tabs>
          <w:tab w:val="left" w:pos="900"/>
        </w:tabs>
        <w:spacing w:before="156" w:beforeLines="50" w:after="156" w:afterLines="50" w:line="360" w:lineRule="auto"/>
        <w:ind w:left="1620" w:hanging="769"/>
        <w:rPr>
          <w:rFonts w:ascii="Times New Roman" w:hAnsi="Times New Roman" w:eastAsia="楷体_GB2312"/>
          <w:b/>
          <w:sz w:val="24"/>
        </w:rPr>
      </w:pPr>
      <w:r>
        <w:rPr>
          <w:rFonts w:ascii="Times New Roman" w:hAnsi="Times New Roman" w:eastAsia="楷体_GB2312"/>
          <w:b/>
          <w:sz w:val="24"/>
        </w:rPr>
        <w:t>发行价格：</w:t>
      </w:r>
      <w:r>
        <w:rPr>
          <w:rFonts w:ascii="Times New Roman" w:hAnsi="Times New Roman" w:eastAsia="楷体_GB2312"/>
          <w:bCs/>
          <w:sz w:val="24"/>
        </w:rPr>
        <w:t>按面值发行。</w:t>
      </w:r>
    </w:p>
    <w:p w14:paraId="1F14825E">
      <w:pPr>
        <w:numPr>
          <w:ilvl w:val="2"/>
          <w:numId w:val="6"/>
        </w:numPr>
        <w:tabs>
          <w:tab w:val="left" w:pos="900"/>
        </w:tabs>
        <w:spacing w:before="156" w:beforeLines="50" w:after="156" w:afterLines="50" w:line="360" w:lineRule="auto"/>
        <w:ind w:left="1620" w:hanging="769"/>
        <w:rPr>
          <w:rFonts w:ascii="Times New Roman" w:hAnsi="Times New Roman" w:eastAsia="楷体_GB2312"/>
          <w:b/>
          <w:sz w:val="24"/>
        </w:rPr>
      </w:pPr>
      <w:r>
        <w:rPr>
          <w:rFonts w:ascii="Times New Roman" w:hAnsi="Times New Roman" w:eastAsia="楷体_GB2312"/>
          <w:b/>
          <w:sz w:val="24"/>
        </w:rPr>
        <w:t>票面利率：</w:t>
      </w:r>
      <w:r>
        <w:rPr>
          <w:rFonts w:ascii="Times New Roman" w:hAnsi="Times New Roman" w:eastAsia="楷体_GB2312"/>
          <w:bCs/>
          <w:sz w:val="24"/>
        </w:rPr>
        <w:t>票面利率为固定利率，根据“簿记建档”结果确定。</w:t>
      </w:r>
    </w:p>
    <w:p w14:paraId="70DA0199">
      <w:pPr>
        <w:numPr>
          <w:ilvl w:val="2"/>
          <w:numId w:val="6"/>
        </w:numPr>
        <w:tabs>
          <w:tab w:val="left" w:pos="900"/>
        </w:tabs>
        <w:spacing w:before="156" w:beforeLines="50" w:after="156" w:afterLines="50" w:line="360" w:lineRule="auto"/>
        <w:ind w:left="1620" w:hanging="769"/>
        <w:rPr>
          <w:rFonts w:ascii="Times New Roman" w:hAnsi="Times New Roman" w:eastAsia="楷体_GB2312"/>
          <w:bCs/>
          <w:sz w:val="24"/>
        </w:rPr>
      </w:pPr>
      <w:r>
        <w:rPr>
          <w:rFonts w:ascii="Times New Roman" w:hAnsi="Times New Roman" w:eastAsia="楷体_GB2312"/>
          <w:b/>
          <w:sz w:val="24"/>
        </w:rPr>
        <w:t>期限：</w:t>
      </w:r>
      <w:r>
        <w:rPr>
          <w:rFonts w:ascii="Times New Roman" w:hAnsi="Times New Roman" w:eastAsia="楷体_GB2312"/>
          <w:bCs/>
          <w:sz w:val="24"/>
        </w:rPr>
        <w:t>自“信托设立日”（含该日）至“法定到期日”止（不含该日）。“法定到期日”并不是“优先B级资产支持证券”的实际到期日，“优先B级资产支持证券”的本金将可能于“法定到期日”前清偿完毕。</w:t>
      </w:r>
    </w:p>
    <w:p w14:paraId="767C4649">
      <w:pPr>
        <w:numPr>
          <w:ilvl w:val="2"/>
          <w:numId w:val="6"/>
        </w:numPr>
        <w:tabs>
          <w:tab w:val="left" w:pos="900"/>
        </w:tabs>
        <w:spacing w:before="156" w:beforeLines="50" w:after="156" w:afterLines="50" w:line="360" w:lineRule="auto"/>
        <w:ind w:left="1620" w:hanging="769"/>
        <w:rPr>
          <w:rFonts w:ascii="Times New Roman" w:hAnsi="Times New Roman" w:eastAsia="楷体_GB2312"/>
          <w:b/>
          <w:sz w:val="24"/>
        </w:rPr>
      </w:pPr>
      <w:r>
        <w:rPr>
          <w:rFonts w:ascii="Times New Roman" w:hAnsi="Times New Roman" w:eastAsia="楷体_GB2312"/>
          <w:b/>
          <w:sz w:val="24"/>
        </w:rPr>
        <w:t>法定到期日：</w:t>
      </w:r>
      <w:r>
        <w:rPr>
          <w:rFonts w:ascii="Times New Roman" w:hAnsi="Times New Roman" w:eastAsia="楷体_GB2312"/>
          <w:bCs/>
          <w:sz w:val="24"/>
        </w:rPr>
        <w:t>【】年【】月【】日。</w:t>
      </w:r>
    </w:p>
    <w:p w14:paraId="18A15A87">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计息期间：</w:t>
      </w:r>
      <w:r>
        <w:rPr>
          <w:rFonts w:ascii="Times New Roman" w:hAnsi="Times New Roman" w:eastAsia="楷体_GB2312"/>
          <w:sz w:val="24"/>
        </w:rPr>
        <w:t>一个“计息日”（含该日）到下一个“计息日”（不含该日）的期间。其中，第一个“计息期间”指“信托设立日”（含该日）开始并于第一个“计息日”（不含该日）结束。</w:t>
      </w:r>
    </w:p>
    <w:p w14:paraId="011AB833">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计息方式：</w:t>
      </w:r>
      <w:r>
        <w:rPr>
          <w:rFonts w:ascii="Times New Roman" w:hAnsi="Times New Roman" w:eastAsia="楷体_GB2312"/>
          <w:sz w:val="24"/>
        </w:rPr>
        <w:t>在每一个“支付日”应支付的“优先B级资产支持证券”利息=“优先B级资产支持证券”在前一个“支付日”偿付后的“未偿本金余额”</w:t>
      </w:r>
      <w:r>
        <w:rPr>
          <w:rFonts w:hint="eastAsia" w:ascii="Times New Roman" w:hAnsi="Times New Roman" w:eastAsia="楷体_GB2312"/>
          <w:sz w:val="24"/>
        </w:rPr>
        <w:t>（</w:t>
      </w:r>
      <w:r>
        <w:rPr>
          <w:rFonts w:ascii="Times New Roman" w:hAnsi="Times New Roman" w:eastAsia="楷体_GB2312"/>
          <w:sz w:val="24"/>
        </w:rPr>
        <w:t>就第一个“支付日”而言，即“优先B级资产支持证券”在“信托设立日”的面值</w:t>
      </w:r>
      <w:r>
        <w:rPr>
          <w:rFonts w:hint="eastAsia" w:ascii="Times New Roman" w:hAnsi="Times New Roman" w:eastAsia="楷体_GB2312"/>
          <w:sz w:val="24"/>
        </w:rPr>
        <w:t>）</w:t>
      </w:r>
      <w:r>
        <w:rPr>
          <w:rFonts w:ascii="Times New Roman" w:hAnsi="Times New Roman" w:eastAsia="楷体_GB2312"/>
          <w:sz w:val="24"/>
        </w:rPr>
        <w:t>×票面利率×“计息期间”实际天数÷365天；尾数计算到分，分以下四舍五入；单利计息。</w:t>
      </w:r>
    </w:p>
    <w:p w14:paraId="7919371E">
      <w:pPr>
        <w:numPr>
          <w:ilvl w:val="2"/>
          <w:numId w:val="6"/>
        </w:numPr>
        <w:tabs>
          <w:tab w:val="left" w:pos="900"/>
        </w:tabs>
        <w:spacing w:before="156" w:beforeLines="50" w:after="156" w:afterLines="50" w:line="360" w:lineRule="auto"/>
        <w:ind w:left="1620" w:hanging="769"/>
        <w:rPr>
          <w:rFonts w:ascii="Times New Roman" w:hAnsi="Times New Roman" w:eastAsia="楷体_GB2312"/>
          <w:b/>
          <w:sz w:val="24"/>
        </w:rPr>
      </w:pPr>
      <w:r>
        <w:rPr>
          <w:rFonts w:ascii="Times New Roman" w:hAnsi="Times New Roman" w:eastAsia="楷体_GB2312"/>
          <w:b/>
          <w:sz w:val="24"/>
        </w:rPr>
        <w:t>还本付息方式：</w:t>
      </w:r>
      <w:r>
        <w:rPr>
          <w:rFonts w:ascii="Times New Roman" w:hAnsi="Times New Roman" w:eastAsia="楷体_GB2312"/>
          <w:sz w:val="24"/>
        </w:rPr>
        <w:t>在每一个“支付日”，根据本合同第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_Ref201563930 \r \h  \* MERGEFORMAT </w:instrText>
      </w:r>
      <w:r>
        <w:rPr>
          <w:rFonts w:ascii="Times New Roman" w:hAnsi="Times New Roman" w:eastAsia="楷体_GB2312"/>
          <w:sz w:val="24"/>
        </w:rPr>
        <w:fldChar w:fldCharType="separate"/>
      </w:r>
      <w:r>
        <w:rPr>
          <w:rFonts w:ascii="Times New Roman" w:hAnsi="Times New Roman" w:eastAsia="楷体_GB2312"/>
          <w:sz w:val="24"/>
        </w:rPr>
        <w:t>11</w:t>
      </w:r>
      <w:r>
        <w:rPr>
          <w:rFonts w:ascii="Times New Roman" w:hAnsi="Times New Roman" w:eastAsia="楷体_GB2312"/>
          <w:sz w:val="24"/>
        </w:rPr>
        <w:fldChar w:fldCharType="end"/>
      </w:r>
      <w:r>
        <w:rPr>
          <w:rFonts w:ascii="Times New Roman" w:hAnsi="Times New Roman" w:eastAsia="楷体_GB2312"/>
          <w:sz w:val="24"/>
        </w:rPr>
        <w:t>条约定的支付顺序进行支付。其中：本金还款金额的计算方式按照本合同约定的“资产支持证券”本金还款金额计算方式（见本合同</w:t>
      </w:r>
      <w:r>
        <w:rPr>
          <w:rFonts w:ascii="Times New Roman" w:hAnsi="Times New Roman" w:eastAsia="楷体_GB2312"/>
          <w:b/>
          <w:i/>
          <w:sz w:val="24"/>
        </w:rPr>
        <w:t>附件五</w:t>
      </w:r>
      <w:r>
        <w:rPr>
          <w:rFonts w:ascii="Times New Roman" w:hAnsi="Times New Roman" w:eastAsia="楷体_GB2312"/>
          <w:sz w:val="24"/>
        </w:rPr>
        <w:t>）进行。</w:t>
      </w:r>
    </w:p>
    <w:p w14:paraId="57647BC0">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证券形式：</w:t>
      </w:r>
      <w:r>
        <w:rPr>
          <w:rFonts w:ascii="Times New Roman" w:hAnsi="Times New Roman" w:eastAsia="楷体_GB2312"/>
          <w:sz w:val="24"/>
        </w:rPr>
        <w:t>采用实名记账方式，由“登记托管机构”统一托管。</w:t>
      </w:r>
    </w:p>
    <w:p w14:paraId="44EC51E3">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税收：</w:t>
      </w:r>
      <w:r>
        <w:rPr>
          <w:rFonts w:ascii="Times New Roman" w:hAnsi="Times New Roman" w:eastAsia="楷体_GB2312"/>
          <w:sz w:val="24"/>
        </w:rPr>
        <w:t>有关“优先B级资产支持证券”本金和利息的所有付款，如须依照适用的“法律”预提或扣除任何税收、规费或任何性质的政府收费，则“受托人”无需就该等预提或扣除支付任何额外的款项。</w:t>
      </w:r>
    </w:p>
    <w:p w14:paraId="390E42D6">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币种：</w:t>
      </w:r>
      <w:r>
        <w:rPr>
          <w:rFonts w:ascii="Times New Roman" w:hAnsi="Times New Roman" w:eastAsia="楷体_GB2312"/>
          <w:sz w:val="24"/>
        </w:rPr>
        <w:t>人民币。</w:t>
      </w:r>
    </w:p>
    <w:p w14:paraId="7326EF9E">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信用级别：</w:t>
      </w:r>
      <w:r>
        <w:rPr>
          <w:rFonts w:ascii="Times New Roman" w:hAnsi="Times New Roman" w:eastAsia="楷体_GB2312"/>
          <w:sz w:val="24"/>
        </w:rPr>
        <w:t>在“资产支持证券”发行之日，“【评级机构1简称】”给予“优先B级资产支持证券”的信用级别为【】级、“【评级机构2简称】”给予“优先B级资产支持证券”的信用级别为【】级。</w:t>
      </w:r>
    </w:p>
    <w:p w14:paraId="37C38579">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bookmarkStart w:id="313" w:name="_Ref340392843"/>
      <w:r>
        <w:rPr>
          <w:rFonts w:ascii="Times New Roman" w:hAnsi="Times New Roman" w:eastAsia="楷体_GB2312"/>
          <w:b/>
          <w:sz w:val="24"/>
        </w:rPr>
        <w:t>次级资产支持证券的基本特征</w:t>
      </w:r>
      <w:bookmarkEnd w:id="313"/>
    </w:p>
    <w:p w14:paraId="62E43D36">
      <w:pPr>
        <w:numPr>
          <w:ilvl w:val="2"/>
          <w:numId w:val="6"/>
        </w:num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“次级资产支持证券”的发行总量与比例：</w:t>
      </w:r>
      <w:r>
        <w:rPr>
          <w:rFonts w:ascii="Times New Roman" w:hAnsi="Times New Roman" w:eastAsia="楷体_GB2312"/>
          <w:sz w:val="24"/>
        </w:rPr>
        <w:t>在“资产支持证券”发行之日，“次级资产支持证券”的发行总量（面值）为【】元人民币，占“资产支持证券”发行总量（面值）的【】%。</w:t>
      </w:r>
    </w:p>
    <w:p w14:paraId="690D1AAE">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面值：</w:t>
      </w:r>
      <w:r>
        <w:rPr>
          <w:rFonts w:ascii="Times New Roman" w:hAnsi="Times New Roman" w:eastAsia="楷体_GB2312"/>
          <w:sz w:val="24"/>
        </w:rPr>
        <w:t>每张</w:t>
      </w:r>
      <w:r>
        <w:rPr>
          <w:rFonts w:ascii="Times New Roman" w:hAnsi="Times New Roman" w:eastAsia="楷体_GB2312"/>
          <w:bCs/>
          <w:sz w:val="24"/>
        </w:rPr>
        <w:t>“</w:t>
      </w:r>
      <w:r>
        <w:rPr>
          <w:rFonts w:ascii="Times New Roman" w:hAnsi="Times New Roman" w:eastAsia="楷体_GB2312"/>
          <w:sz w:val="24"/>
        </w:rPr>
        <w:t>次级资产支持证券</w:t>
      </w:r>
      <w:r>
        <w:rPr>
          <w:rFonts w:ascii="Times New Roman" w:hAnsi="Times New Roman" w:eastAsia="楷体_GB2312"/>
          <w:bCs/>
          <w:sz w:val="24"/>
        </w:rPr>
        <w:t>”</w:t>
      </w:r>
      <w:r>
        <w:rPr>
          <w:rFonts w:ascii="Times New Roman" w:hAnsi="Times New Roman" w:eastAsia="楷体_GB2312"/>
          <w:sz w:val="24"/>
        </w:rPr>
        <w:t>的面值为人民币100元。</w:t>
      </w:r>
    </w:p>
    <w:p w14:paraId="36C56BCA">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发行价格：</w:t>
      </w:r>
      <w:r>
        <w:rPr>
          <w:rFonts w:ascii="Times New Roman" w:hAnsi="Times New Roman" w:eastAsia="楷体_GB2312"/>
          <w:sz w:val="24"/>
        </w:rPr>
        <w:t>按面值发行。</w:t>
      </w:r>
    </w:p>
    <w:p w14:paraId="4EC4F169">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票面利率：</w:t>
      </w:r>
      <w:r>
        <w:rPr>
          <w:rFonts w:ascii="Times New Roman" w:hAnsi="Times New Roman" w:eastAsia="楷体_GB2312"/>
          <w:sz w:val="24"/>
        </w:rPr>
        <w:t>无票面利率。</w:t>
      </w:r>
    </w:p>
    <w:p w14:paraId="746E187E">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期限：</w:t>
      </w:r>
      <w:r>
        <w:rPr>
          <w:rFonts w:ascii="Times New Roman" w:hAnsi="Times New Roman" w:eastAsia="楷体_GB2312"/>
          <w:sz w:val="24"/>
        </w:rPr>
        <w:t>自“信托设立日”（含该日）至“法定到期日”止（不含该日）。“法定到期日”并不是</w:t>
      </w:r>
      <w:r>
        <w:rPr>
          <w:rFonts w:ascii="Times New Roman" w:hAnsi="Times New Roman" w:eastAsia="楷体_GB2312"/>
          <w:bCs/>
          <w:sz w:val="24"/>
        </w:rPr>
        <w:t>“</w:t>
      </w:r>
      <w:r>
        <w:rPr>
          <w:rFonts w:ascii="Times New Roman" w:hAnsi="Times New Roman" w:eastAsia="楷体_GB2312"/>
          <w:sz w:val="24"/>
        </w:rPr>
        <w:t>次级资产支持证券</w:t>
      </w:r>
      <w:r>
        <w:rPr>
          <w:rFonts w:ascii="Times New Roman" w:hAnsi="Times New Roman" w:eastAsia="楷体_GB2312"/>
          <w:bCs/>
          <w:sz w:val="24"/>
        </w:rPr>
        <w:t>”</w:t>
      </w:r>
      <w:r>
        <w:rPr>
          <w:rFonts w:ascii="Times New Roman" w:hAnsi="Times New Roman" w:eastAsia="楷体_GB2312"/>
          <w:sz w:val="24"/>
        </w:rPr>
        <w:t>的实际到期日，“次级资产支持证券</w:t>
      </w:r>
      <w:r>
        <w:rPr>
          <w:rFonts w:ascii="Times New Roman" w:hAnsi="Times New Roman" w:eastAsia="楷体_GB2312"/>
          <w:bCs/>
          <w:sz w:val="24"/>
        </w:rPr>
        <w:t>”</w:t>
      </w:r>
      <w:r>
        <w:rPr>
          <w:rFonts w:ascii="Times New Roman" w:hAnsi="Times New Roman" w:eastAsia="楷体_GB2312"/>
          <w:sz w:val="24"/>
        </w:rPr>
        <w:t>的本金将可能于“法定到期日”前清偿完毕。</w:t>
      </w:r>
    </w:p>
    <w:p w14:paraId="3EAE8153">
      <w:pPr>
        <w:numPr>
          <w:ilvl w:val="2"/>
          <w:numId w:val="6"/>
        </w:numPr>
        <w:tabs>
          <w:tab w:val="left" w:pos="900"/>
        </w:tabs>
        <w:spacing w:before="156" w:beforeLines="50" w:after="156" w:afterLines="50" w:line="360" w:lineRule="auto"/>
        <w:ind w:left="1620" w:hanging="769"/>
        <w:rPr>
          <w:rFonts w:ascii="Times New Roman" w:hAnsi="Times New Roman" w:eastAsia="楷体_GB2312"/>
          <w:w w:val="0"/>
          <w:sz w:val="24"/>
        </w:rPr>
      </w:pPr>
      <w:r>
        <w:rPr>
          <w:rStyle w:val="79"/>
          <w:rFonts w:ascii="Times New Roman" w:hAnsi="Times New Roman" w:eastAsia="楷体_GB2312"/>
          <w:b/>
          <w:color w:val="auto"/>
          <w:w w:val="0"/>
          <w:sz w:val="24"/>
          <w:u w:val="none"/>
        </w:rPr>
        <w:t>法定到期日</w:t>
      </w:r>
      <w:r>
        <w:rPr>
          <w:rStyle w:val="79"/>
          <w:rFonts w:ascii="Times New Roman" w:hAnsi="Times New Roman" w:eastAsia="楷体_GB2312"/>
          <w:color w:val="auto"/>
          <w:w w:val="0"/>
          <w:sz w:val="24"/>
          <w:u w:val="none"/>
        </w:rPr>
        <w:t>：</w:t>
      </w:r>
      <w:r>
        <w:rPr>
          <w:rFonts w:ascii="Times New Roman" w:hAnsi="Times New Roman" w:eastAsia="楷体_GB2312"/>
          <w:bCs/>
          <w:sz w:val="24"/>
        </w:rPr>
        <w:t>【】年【】月【】</w:t>
      </w:r>
      <w:r>
        <w:rPr>
          <w:rFonts w:ascii="Times New Roman" w:hAnsi="Times New Roman" w:eastAsia="楷体_GB2312"/>
          <w:sz w:val="24"/>
        </w:rPr>
        <w:t>日</w:t>
      </w:r>
      <w:r>
        <w:rPr>
          <w:rStyle w:val="79"/>
          <w:rFonts w:ascii="Times New Roman" w:hAnsi="Times New Roman" w:eastAsia="楷体_GB2312"/>
          <w:color w:val="auto"/>
          <w:w w:val="0"/>
          <w:sz w:val="24"/>
          <w:u w:val="none"/>
        </w:rPr>
        <w:t>。</w:t>
      </w:r>
    </w:p>
    <w:p w14:paraId="47A42831">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计息期间：</w:t>
      </w:r>
      <w:r>
        <w:rPr>
          <w:rFonts w:ascii="Times New Roman" w:hAnsi="Times New Roman" w:eastAsia="楷体_GB2312"/>
          <w:sz w:val="24"/>
        </w:rPr>
        <w:t>一个“计息日”（含该日）到下一个“计息日”（不含该日）的期间。其中，第一个“计息期间”指“信托设立日”（含该日）开始并于第一个“计息日”（不含该日）结束。</w:t>
      </w:r>
    </w:p>
    <w:p w14:paraId="7FA6ADDF">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期间收益计算方式：</w:t>
      </w:r>
      <w:r>
        <w:rPr>
          <w:rFonts w:hint="eastAsia" w:ascii="Times New Roman" w:hAnsi="Times New Roman" w:eastAsia="楷体_GB2312"/>
          <w:b/>
          <w:i/>
          <w:iCs/>
          <w:color w:val="FF0000"/>
          <w:sz w:val="24"/>
        </w:rPr>
        <w:t>【注：可结合项目需要补充次级的期间收益计算方式（如需）】</w:t>
      </w:r>
      <w:r>
        <w:rPr>
          <w:rFonts w:ascii="Times New Roman" w:hAnsi="Times New Roman" w:eastAsia="楷体_GB2312"/>
          <w:sz w:val="24"/>
        </w:rPr>
        <w:t>。</w:t>
      </w:r>
    </w:p>
    <w:p w14:paraId="38694E8E">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本金和收益支付方式：</w:t>
      </w:r>
      <w:r>
        <w:rPr>
          <w:rFonts w:ascii="Times New Roman" w:hAnsi="Times New Roman" w:eastAsia="楷体_GB2312"/>
          <w:sz w:val="24"/>
        </w:rPr>
        <w:t>根据本合同第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_Ref201563930 \r \h  \* MERGEFORMAT </w:instrText>
      </w:r>
      <w:r>
        <w:rPr>
          <w:rFonts w:ascii="Times New Roman" w:hAnsi="Times New Roman" w:eastAsia="楷体_GB2312"/>
          <w:sz w:val="24"/>
        </w:rPr>
        <w:fldChar w:fldCharType="separate"/>
      </w:r>
      <w:r>
        <w:rPr>
          <w:rFonts w:ascii="Times New Roman" w:hAnsi="Times New Roman" w:eastAsia="楷体_GB2312"/>
          <w:sz w:val="24"/>
        </w:rPr>
        <w:t>11</w:t>
      </w:r>
      <w:r>
        <w:rPr>
          <w:rFonts w:ascii="Times New Roman" w:hAnsi="Times New Roman" w:eastAsia="楷体_GB2312"/>
          <w:sz w:val="24"/>
        </w:rPr>
        <w:fldChar w:fldCharType="end"/>
      </w:r>
      <w:r>
        <w:rPr>
          <w:rFonts w:ascii="Times New Roman" w:hAnsi="Times New Roman" w:eastAsia="楷体_GB2312"/>
          <w:sz w:val="24"/>
        </w:rPr>
        <w:t>条约定的支付顺序进行支付。其中：本金还款金额的计算方式按照本合同约定的“资产支持证券”本金还款金额计算方式（见本合同</w:t>
      </w:r>
      <w:r>
        <w:rPr>
          <w:rFonts w:ascii="Times New Roman" w:hAnsi="Times New Roman" w:eastAsia="楷体_GB2312"/>
          <w:b/>
          <w:i/>
          <w:sz w:val="24"/>
        </w:rPr>
        <w:t>附件五</w:t>
      </w:r>
      <w:r>
        <w:rPr>
          <w:rFonts w:ascii="Times New Roman" w:hAnsi="Times New Roman" w:eastAsia="楷体_GB2312"/>
          <w:sz w:val="24"/>
        </w:rPr>
        <w:t>）进行。</w:t>
      </w:r>
    </w:p>
    <w:p w14:paraId="3AF771E2">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证券形式：</w:t>
      </w:r>
      <w:r>
        <w:rPr>
          <w:rFonts w:ascii="Times New Roman" w:hAnsi="Times New Roman" w:eastAsia="楷体_GB2312"/>
          <w:sz w:val="24"/>
        </w:rPr>
        <w:t>采用实名记账方式，由“登记托管机构”统一托管。</w:t>
      </w:r>
    </w:p>
    <w:p w14:paraId="41D8ABD7">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税收：</w:t>
      </w:r>
      <w:r>
        <w:rPr>
          <w:rFonts w:ascii="Times New Roman" w:hAnsi="Times New Roman" w:eastAsia="楷体_GB2312"/>
          <w:sz w:val="24"/>
        </w:rPr>
        <w:t>有关“次级资产支持证券”本金和收益的所有付款，如须依照适用的“法律”预提或扣除任何税收、规费或任何性质的政府收费，则“受托人”无需就该等预提或扣除支付任何额外的款项。</w:t>
      </w:r>
    </w:p>
    <w:p w14:paraId="30452E8C">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币种：</w:t>
      </w:r>
      <w:r>
        <w:rPr>
          <w:rFonts w:ascii="Times New Roman" w:hAnsi="Times New Roman" w:eastAsia="楷体_GB2312"/>
          <w:sz w:val="24"/>
        </w:rPr>
        <w:t>人民币。</w:t>
      </w:r>
    </w:p>
    <w:p w14:paraId="691789B9">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bookmarkStart w:id="314" w:name="_Toc201569409"/>
      <w:bookmarkStart w:id="315" w:name="_Ref201565513"/>
      <w:r>
        <w:rPr>
          <w:rFonts w:ascii="Times New Roman" w:hAnsi="Times New Roman" w:eastAsia="楷体_GB2312"/>
          <w:b/>
          <w:sz w:val="24"/>
        </w:rPr>
        <w:t>信用级别：</w:t>
      </w:r>
      <w:r>
        <w:rPr>
          <w:rFonts w:ascii="Times New Roman" w:hAnsi="Times New Roman" w:eastAsia="楷体_GB2312"/>
          <w:bCs/>
          <w:sz w:val="24"/>
        </w:rPr>
        <w:t>“</w:t>
      </w:r>
      <w:r>
        <w:rPr>
          <w:rFonts w:ascii="Times New Roman" w:hAnsi="Times New Roman" w:eastAsia="楷体_GB2312"/>
          <w:sz w:val="24"/>
        </w:rPr>
        <w:t>次级资产支持证券</w:t>
      </w:r>
      <w:r>
        <w:rPr>
          <w:rFonts w:ascii="Times New Roman" w:hAnsi="Times New Roman" w:eastAsia="楷体_GB2312"/>
          <w:bCs/>
          <w:sz w:val="24"/>
        </w:rPr>
        <w:t>”</w:t>
      </w:r>
      <w:r>
        <w:rPr>
          <w:rFonts w:ascii="Times New Roman" w:hAnsi="Times New Roman" w:eastAsia="楷体_GB2312"/>
          <w:sz w:val="24"/>
        </w:rPr>
        <w:t>不作信用评级。</w:t>
      </w:r>
    </w:p>
    <w:bookmarkEnd w:id="314"/>
    <w:bookmarkEnd w:id="315"/>
    <w:p w14:paraId="470B6861">
      <w:pPr>
        <w:numPr>
          <w:ilvl w:val="1"/>
          <w:numId w:val="6"/>
        </w:numPr>
        <w:tabs>
          <w:tab w:val="left" w:pos="900"/>
        </w:tabs>
        <w:spacing w:before="156" w:beforeLines="50" w:after="156" w:afterLines="50" w:line="360" w:lineRule="auto"/>
        <w:outlineLvl w:val="1"/>
        <w:rPr>
          <w:rFonts w:ascii="Times New Roman" w:hAnsi="Times New Roman" w:eastAsia="楷体_GB2312"/>
          <w:b/>
          <w:sz w:val="24"/>
        </w:rPr>
      </w:pPr>
      <w:bookmarkStart w:id="316" w:name="_Toc195174870"/>
      <w:bookmarkEnd w:id="316"/>
      <w:bookmarkStart w:id="317" w:name="_Toc195174849"/>
      <w:bookmarkEnd w:id="317"/>
      <w:bookmarkStart w:id="318" w:name="_Toc195174851"/>
      <w:bookmarkEnd w:id="318"/>
      <w:bookmarkStart w:id="319" w:name="_Toc195174860"/>
      <w:bookmarkEnd w:id="319"/>
      <w:bookmarkStart w:id="320" w:name="_Toc195174850"/>
      <w:bookmarkEnd w:id="320"/>
      <w:bookmarkStart w:id="321" w:name="_Toc195174867"/>
      <w:bookmarkEnd w:id="321"/>
      <w:bookmarkStart w:id="322" w:name="_Toc195174853"/>
      <w:bookmarkEnd w:id="322"/>
      <w:bookmarkStart w:id="323" w:name="_Toc195174864"/>
      <w:bookmarkEnd w:id="323"/>
      <w:bookmarkStart w:id="324" w:name="_Toc195174872"/>
      <w:bookmarkEnd w:id="324"/>
      <w:bookmarkStart w:id="325" w:name="_Toc195174847"/>
      <w:bookmarkEnd w:id="325"/>
      <w:bookmarkStart w:id="326" w:name="_Toc195174874"/>
      <w:bookmarkEnd w:id="326"/>
      <w:bookmarkStart w:id="327" w:name="_Toc195174846"/>
      <w:bookmarkEnd w:id="327"/>
      <w:bookmarkStart w:id="328" w:name="_Toc195174848"/>
      <w:bookmarkEnd w:id="328"/>
      <w:bookmarkStart w:id="329" w:name="_Toc195174859"/>
      <w:bookmarkEnd w:id="329"/>
      <w:bookmarkStart w:id="330" w:name="_Toc195174854"/>
      <w:bookmarkEnd w:id="330"/>
      <w:bookmarkStart w:id="331" w:name="_Toc195174857"/>
      <w:bookmarkEnd w:id="331"/>
      <w:bookmarkStart w:id="332" w:name="_Toc195174866"/>
      <w:bookmarkEnd w:id="332"/>
      <w:bookmarkStart w:id="333" w:name="_Toc195174871"/>
      <w:bookmarkEnd w:id="333"/>
      <w:bookmarkStart w:id="334" w:name="_Toc195174865"/>
      <w:bookmarkEnd w:id="334"/>
      <w:bookmarkStart w:id="335" w:name="_Toc195174861"/>
      <w:bookmarkEnd w:id="335"/>
      <w:bookmarkStart w:id="336" w:name="_Toc195174852"/>
      <w:bookmarkEnd w:id="336"/>
      <w:bookmarkStart w:id="337" w:name="_Toc195174862"/>
      <w:bookmarkEnd w:id="337"/>
      <w:bookmarkStart w:id="338" w:name="_Toc195174868"/>
      <w:bookmarkEnd w:id="338"/>
      <w:bookmarkStart w:id="339" w:name="_Toc195174863"/>
      <w:bookmarkEnd w:id="339"/>
      <w:bookmarkStart w:id="340" w:name="_Toc195174873"/>
      <w:bookmarkEnd w:id="340"/>
      <w:bookmarkStart w:id="341" w:name="_Toc195174856"/>
      <w:bookmarkEnd w:id="341"/>
      <w:bookmarkStart w:id="342" w:name="_Toc195174858"/>
      <w:bookmarkEnd w:id="342"/>
      <w:bookmarkStart w:id="343" w:name="_Toc195174855"/>
      <w:bookmarkEnd w:id="343"/>
      <w:bookmarkStart w:id="344" w:name="_Toc195174845"/>
      <w:bookmarkEnd w:id="344"/>
      <w:bookmarkStart w:id="345" w:name="_Toc195174869"/>
      <w:bookmarkEnd w:id="345"/>
      <w:bookmarkStart w:id="346" w:name="_Toc146989583"/>
      <w:bookmarkEnd w:id="346"/>
      <w:bookmarkStart w:id="347" w:name="_Toc110153441"/>
      <w:bookmarkStart w:id="348" w:name="_Toc111281792"/>
      <w:bookmarkStart w:id="349" w:name="_Toc207007304"/>
      <w:r>
        <w:rPr>
          <w:rFonts w:ascii="Times New Roman" w:hAnsi="Times New Roman" w:eastAsia="楷体_GB2312"/>
          <w:b/>
          <w:sz w:val="24"/>
        </w:rPr>
        <w:t>资产支持证券的发行、承销、登记、交易和结算</w:t>
      </w:r>
      <w:bookmarkEnd w:id="347"/>
      <w:bookmarkEnd w:id="348"/>
    </w:p>
    <w:p w14:paraId="1BB039D7">
      <w:pPr>
        <w:numPr>
          <w:ilvl w:val="2"/>
          <w:numId w:val="6"/>
        </w:numPr>
        <w:tabs>
          <w:tab w:val="left" w:pos="900"/>
        </w:tabs>
        <w:spacing w:before="156" w:beforeLines="50" w:after="156" w:afterLines="50" w:line="360" w:lineRule="auto"/>
        <w:ind w:left="1620" w:hanging="769"/>
        <w:rPr>
          <w:rFonts w:ascii="Times New Roman" w:hAnsi="Times New Roman" w:eastAsia="楷体_GB2312"/>
          <w:b/>
          <w:sz w:val="24"/>
        </w:rPr>
      </w:pPr>
      <w:r>
        <w:rPr>
          <w:rFonts w:ascii="Times New Roman" w:hAnsi="Times New Roman" w:eastAsia="楷体_GB2312"/>
          <w:b/>
          <w:sz w:val="24"/>
        </w:rPr>
        <w:t>资产支持证券的发行</w:t>
      </w:r>
    </w:p>
    <w:p w14:paraId="52A7B676">
      <w:pPr>
        <w:numPr>
          <w:ilvl w:val="0"/>
          <w:numId w:val="17"/>
        </w:numPr>
        <w:tabs>
          <w:tab w:val="left" w:pos="1333"/>
        </w:tabs>
        <w:spacing w:before="156" w:beforeLines="50" w:after="156" w:afterLines="50" w:line="360" w:lineRule="auto"/>
        <w:rPr>
          <w:rFonts w:ascii="Times New Roman" w:hAnsi="Times New Roman" w:eastAsia="楷体_GB2312"/>
        </w:rPr>
      </w:pPr>
      <w:r>
        <w:rPr>
          <w:rFonts w:ascii="Times New Roman" w:hAnsi="Times New Roman" w:eastAsia="楷体_GB2312"/>
          <w:sz w:val="24"/>
        </w:rPr>
        <w:t>在获得“人民银行”关于发行本合同项下“资产支持证券”的核准后，在遵守本合同和“中国”“法律”的相关规定前提下，受托人应以“簿记建档”方式发行本“信托”项下“资产支持证券”（向“发起机构”发行的“资产支持证券”除外）。“受托机构”应不迟于“信托财产交付日”按照“登记托管机构”的规则将向“发起机构”发行的“优先级资产支持证券”和“次级资产支持证券”交付给“发起机构”。</w:t>
      </w:r>
    </w:p>
    <w:p w14:paraId="070FA00B">
      <w:pPr>
        <w:numPr>
          <w:ilvl w:val="0"/>
          <w:numId w:val="17"/>
        </w:numPr>
        <w:tabs>
          <w:tab w:val="left" w:pos="1333"/>
        </w:tabs>
        <w:spacing w:before="156" w:beforeLines="50" w:after="156" w:afterLines="50" w:line="360" w:lineRule="auto"/>
        <w:rPr>
          <w:rFonts w:ascii="Times New Roman" w:hAnsi="Times New Roman" w:eastAsia="楷体_GB2312"/>
        </w:rPr>
      </w:pPr>
      <w:r>
        <w:rPr>
          <w:rFonts w:ascii="Times New Roman" w:hAnsi="Times New Roman" w:eastAsia="楷体_GB2312"/>
          <w:sz w:val="24"/>
        </w:rPr>
        <w:t>“委托人”同意对“受托人”发行“资产支持证券”给予积极协助。</w:t>
      </w:r>
    </w:p>
    <w:p w14:paraId="7D7B6AEF">
      <w:pPr>
        <w:numPr>
          <w:ilvl w:val="2"/>
          <w:numId w:val="6"/>
        </w:numPr>
        <w:tabs>
          <w:tab w:val="left" w:pos="900"/>
        </w:tabs>
        <w:spacing w:before="156" w:beforeLines="50" w:after="156" w:afterLines="50" w:line="360" w:lineRule="auto"/>
        <w:ind w:left="1620" w:hanging="769"/>
        <w:rPr>
          <w:rFonts w:ascii="Times New Roman" w:hAnsi="Times New Roman" w:eastAsia="楷体_GB2312"/>
          <w:b/>
          <w:sz w:val="24"/>
        </w:rPr>
      </w:pPr>
      <w:r>
        <w:rPr>
          <w:rFonts w:ascii="Times New Roman" w:hAnsi="Times New Roman" w:eastAsia="楷体_GB2312"/>
          <w:b/>
          <w:sz w:val="24"/>
        </w:rPr>
        <w:t>资产支持证券的承销</w:t>
      </w:r>
    </w:p>
    <w:p w14:paraId="02C241B9">
      <w:pPr>
        <w:numPr>
          <w:ilvl w:val="0"/>
          <w:numId w:val="18"/>
        </w:numPr>
        <w:tabs>
          <w:tab w:val="left" w:pos="1333"/>
        </w:tabs>
        <w:spacing w:before="156" w:beforeLines="50" w:after="156" w:afterLines="50" w:line="360" w:lineRule="auto"/>
        <w:rPr>
          <w:rFonts w:ascii="Times New Roman" w:hAnsi="Times New Roman" w:eastAsia="楷体_GB2312"/>
        </w:rPr>
      </w:pPr>
      <w:r>
        <w:rPr>
          <w:rFonts w:ascii="Times New Roman" w:hAnsi="Times New Roman" w:eastAsia="楷体_GB2312"/>
          <w:sz w:val="24"/>
        </w:rPr>
        <w:t>“受托人”作为“资产支持证券”的发行人，与“发起机构”、“牵头主承销商”、“联席主承销商”签署“《承销协议》”，“牵头主承销商”、“联席主承销商”再与其他“承销商”签署“《承销团协议》”，由“牵头主承销商”、“联席主承销商”和其他“承销商”承销“资产支持证券”（由“发起机构”自持的“资产支持证券”除外）。各方具体权利义务在“受托人”、“委托人”、“牵头主承销商”和“联席主承销商”签署的“《承销协议》”中进行约定。</w:t>
      </w:r>
    </w:p>
    <w:p w14:paraId="71600316">
      <w:pPr>
        <w:numPr>
          <w:ilvl w:val="0"/>
          <w:numId w:val="18"/>
        </w:numPr>
        <w:tabs>
          <w:tab w:val="left" w:pos="1333"/>
        </w:tabs>
        <w:spacing w:before="156" w:beforeLines="50" w:after="156" w:afterLines="50" w:line="360" w:lineRule="auto"/>
        <w:rPr>
          <w:rFonts w:ascii="Times New Roman" w:hAnsi="Times New Roman" w:eastAsia="楷体_GB2312"/>
        </w:rPr>
      </w:pPr>
      <w:r>
        <w:rPr>
          <w:rFonts w:ascii="Times New Roman" w:hAnsi="Times New Roman" w:eastAsia="楷体_GB2312"/>
          <w:sz w:val="24"/>
        </w:rPr>
        <w:t>“牵头主承销商”根据“《承销协议》”将“资产支持证券募集资金”划付至“受托机构”指定的发行收入缴款账户后，“受托机构”应根据“登记托管机构”的规则和程序，向“登记托管机构”提供“资产支持证券”发行款到账确认书及其他相关文件，“登记托管机构”据此办理“资产支持证券”的托管确认手续，并向“受托机构”签发资产支持证券发行登记完成确认书。“资产支持证券”的发行登记服务费由“受托机构”于登记手续完成后5个“工作日”内从“信托财产”中支付。</w:t>
      </w:r>
    </w:p>
    <w:p w14:paraId="0B635BA2">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资产支持证券的登记、托管</w:t>
      </w:r>
    </w:p>
    <w:p w14:paraId="7DBF0AF9">
      <w:pPr>
        <w:numPr>
          <w:ilvl w:val="0"/>
          <w:numId w:val="19"/>
        </w:numPr>
        <w:tabs>
          <w:tab w:val="left" w:pos="1333"/>
        </w:tabs>
        <w:spacing w:before="156" w:beforeLines="50" w:after="156" w:afterLines="50" w:line="360" w:lineRule="auto"/>
        <w:rPr>
          <w:rFonts w:ascii="Times New Roman" w:hAnsi="Times New Roman" w:eastAsia="楷体_GB2312"/>
        </w:rPr>
      </w:pPr>
      <w:r>
        <w:rPr>
          <w:rFonts w:ascii="Times New Roman" w:hAnsi="Times New Roman" w:eastAsia="楷体_GB2312"/>
          <w:sz w:val="24"/>
        </w:rPr>
        <w:t>在“信托期限”内，“资产支持证券”应在“登记托管机构”进行登记、托管。</w:t>
      </w:r>
    </w:p>
    <w:p w14:paraId="2514EA58">
      <w:pPr>
        <w:numPr>
          <w:ilvl w:val="0"/>
          <w:numId w:val="19"/>
        </w:numPr>
        <w:tabs>
          <w:tab w:val="left" w:pos="1333"/>
        </w:tabs>
        <w:spacing w:before="156" w:beforeLines="50" w:after="156" w:afterLines="50" w:line="360" w:lineRule="auto"/>
        <w:rPr>
          <w:rFonts w:ascii="Times New Roman" w:hAnsi="Times New Roman" w:eastAsia="楷体_GB2312"/>
        </w:rPr>
      </w:pPr>
      <w:r>
        <w:rPr>
          <w:rFonts w:ascii="Times New Roman" w:hAnsi="Times New Roman" w:eastAsia="楷体_GB2312"/>
          <w:sz w:val="24"/>
        </w:rPr>
        <w:t>以“《承销协议》”中约定的“优先级资产支持证券”和“次级资产支持证券”（由“发起机构”自持的“资产支持证券”除外）认购款于“缴款截止日”汇入“受托机构”的指定账户为条件，“受托机构”或其代理人应根据“登记托管机构”的规则和程序，通过“登记托管机构”的系统对“优先级资产支持证券”和“次级资产支持证券”进行登记和托管。</w:t>
      </w:r>
    </w:p>
    <w:p w14:paraId="2E6EFD6C">
      <w:pPr>
        <w:numPr>
          <w:ilvl w:val="0"/>
          <w:numId w:val="19"/>
        </w:numPr>
        <w:tabs>
          <w:tab w:val="left" w:pos="1333"/>
        </w:tabs>
        <w:spacing w:before="156" w:beforeLines="50" w:after="156" w:afterLines="50" w:line="360" w:lineRule="auto"/>
        <w:rPr>
          <w:rFonts w:ascii="Times New Roman" w:hAnsi="Times New Roman" w:eastAsia="楷体_GB2312"/>
        </w:rPr>
      </w:pPr>
      <w:r>
        <w:rPr>
          <w:rFonts w:ascii="Times New Roman" w:hAnsi="Times New Roman" w:eastAsia="楷体_GB2312"/>
          <w:sz w:val="24"/>
        </w:rPr>
        <w:t>“受托机构”或其代理人应根据“登记托管机构”的规则和程序，于“信托财产交付日”通过“登记托管机构”的系统向“发起机构”发行“资产支持证券”，由“登记托管机构”对“发起机构”持有的“资产支持证券”进行登记和托管。</w:t>
      </w:r>
    </w:p>
    <w:p w14:paraId="72FCEEB3">
      <w:pPr>
        <w:numPr>
          <w:ilvl w:val="0"/>
          <w:numId w:val="19"/>
        </w:numPr>
        <w:tabs>
          <w:tab w:val="left" w:pos="1333"/>
        </w:tabs>
        <w:spacing w:before="156" w:beforeLines="50" w:after="156" w:afterLines="50" w:line="360" w:lineRule="auto"/>
        <w:rPr>
          <w:rFonts w:ascii="Times New Roman" w:hAnsi="Times New Roman" w:eastAsia="楷体_GB2312"/>
        </w:rPr>
      </w:pPr>
      <w:r>
        <w:rPr>
          <w:rFonts w:ascii="Times New Roman" w:hAnsi="Times New Roman" w:eastAsia="楷体_GB2312"/>
          <w:sz w:val="24"/>
        </w:rPr>
        <w:t>“资产支持证券”的发行登记服务费由“受托人”于托管手续完成后【】个“工作日”内指示“资金保管机构”从“信托账户”中支付给“登记托管机构”。发行登记服务费由“信托财产”承担。如“信托财产”中的现金不足以支付“登记托管机构”的发行登记服务费，“受托人”将以固有财产垫付，就垫付的金额，对“信托财产”享有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_Ref201563930 \r \h  \* MERGEFORMAT </w:instrText>
      </w:r>
      <w:r>
        <w:rPr>
          <w:rFonts w:ascii="Times New Roman" w:hAnsi="Times New Roman" w:eastAsia="楷体_GB2312"/>
          <w:sz w:val="24"/>
        </w:rPr>
        <w:fldChar w:fldCharType="separate"/>
      </w:r>
      <w:r>
        <w:rPr>
          <w:rFonts w:ascii="Times New Roman" w:hAnsi="Times New Roman" w:eastAsia="楷体_GB2312"/>
          <w:sz w:val="24"/>
        </w:rPr>
        <w:t>11</w:t>
      </w:r>
      <w:r>
        <w:rPr>
          <w:rFonts w:ascii="Times New Roman" w:hAnsi="Times New Roman" w:eastAsia="楷体_GB2312"/>
          <w:sz w:val="24"/>
        </w:rPr>
        <w:fldChar w:fldCharType="end"/>
      </w:r>
      <w:r>
        <w:rPr>
          <w:rFonts w:ascii="Times New Roman" w:hAnsi="Times New Roman" w:eastAsia="楷体_GB2312"/>
          <w:sz w:val="24"/>
        </w:rPr>
        <w:t>条规定的支付顺序优先受偿的权利。</w:t>
      </w:r>
    </w:p>
    <w:p w14:paraId="6C5E3A64">
      <w:pPr>
        <w:tabs>
          <w:tab w:val="left" w:pos="1333"/>
        </w:tabs>
        <w:spacing w:before="156" w:beforeLines="50" w:after="156" w:afterLines="50" w:line="360" w:lineRule="auto"/>
        <w:ind w:left="1995"/>
        <w:rPr>
          <w:rFonts w:ascii="Times New Roman" w:hAnsi="Times New Roman" w:eastAsia="楷体_GB2312"/>
          <w:sz w:val="24"/>
          <w:szCs w:val="32"/>
        </w:rPr>
      </w:pPr>
      <w:r>
        <w:rPr>
          <w:rFonts w:hint="eastAsia" w:eastAsia="楷体_GB2312"/>
          <w:b/>
          <w:bCs/>
          <w:i/>
          <w:iCs/>
          <w:color w:val="FF0000"/>
          <w:sz w:val="24"/>
          <w:szCs w:val="32"/>
        </w:rPr>
        <w:t>【注：发行登记服务费的付费来源根据项目的具体安排进行调整。】</w:t>
      </w:r>
    </w:p>
    <w:p w14:paraId="75F307C9">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b/>
          <w:sz w:val="24"/>
        </w:rPr>
        <w:t>资产支持证券的交易</w:t>
      </w:r>
    </w:p>
    <w:p w14:paraId="077E94CC">
      <w:pPr>
        <w:numPr>
          <w:ilvl w:val="0"/>
          <w:numId w:val="20"/>
        </w:numPr>
        <w:tabs>
          <w:tab w:val="left" w:pos="1333"/>
        </w:tabs>
        <w:spacing w:before="156" w:beforeLines="50" w:after="156" w:afterLines="50" w:line="360" w:lineRule="auto"/>
        <w:rPr>
          <w:rFonts w:ascii="Times New Roman" w:hAnsi="Times New Roman" w:eastAsia="楷体_GB2312"/>
        </w:rPr>
      </w:pPr>
      <w:r>
        <w:rPr>
          <w:rFonts w:ascii="Times New Roman" w:hAnsi="Times New Roman" w:eastAsia="楷体_GB2312"/>
          <w:sz w:val="24"/>
        </w:rPr>
        <w:t>“资产支持证券”在全国银行间债券市场公开发行结束并经“登记托管机构”登记完毕后，即可依据“中国”“法律”的规定在全国银行间债券市场交易流通，但相关“中国”“法律”对“发起机构”自持的“优先级资产支持证券”及“次级资产支持证券”的转让有特殊规定的依其规定。“资产支持证券持有人”应根据“中国”“法律”的规定，在全国银行间债券市场进行交易。</w:t>
      </w:r>
    </w:p>
    <w:p w14:paraId="1E1F0372">
      <w:pPr>
        <w:numPr>
          <w:ilvl w:val="0"/>
          <w:numId w:val="20"/>
        </w:numPr>
        <w:tabs>
          <w:tab w:val="left" w:pos="1333"/>
        </w:tabs>
        <w:spacing w:before="156" w:beforeLines="50" w:after="156" w:afterLines="50" w:line="360" w:lineRule="auto"/>
        <w:rPr>
          <w:rFonts w:ascii="Times New Roman" w:hAnsi="Times New Roman" w:eastAsia="楷体_GB2312"/>
        </w:rPr>
      </w:pPr>
      <w:r>
        <w:rPr>
          <w:rFonts w:ascii="Times New Roman" w:hAnsi="Times New Roman" w:eastAsia="楷体_GB2312"/>
          <w:sz w:val="24"/>
        </w:rPr>
        <w:t>“次级资产支持证券”应按所适用的“中国”“法律”的相关规定进行转让。</w:t>
      </w:r>
    </w:p>
    <w:p w14:paraId="26D3DBC5">
      <w:pPr>
        <w:numPr>
          <w:ilvl w:val="0"/>
          <w:numId w:val="20"/>
        </w:numPr>
        <w:tabs>
          <w:tab w:val="left" w:pos="1333"/>
        </w:tabs>
        <w:spacing w:before="156" w:beforeLines="50" w:after="156" w:afterLines="50" w:line="360" w:lineRule="auto"/>
        <w:rPr>
          <w:rFonts w:ascii="Times New Roman" w:hAnsi="Times New Roman" w:eastAsia="楷体_GB2312"/>
        </w:rPr>
      </w:pPr>
      <w:r>
        <w:rPr>
          <w:rFonts w:ascii="Times New Roman" w:hAnsi="Times New Roman" w:eastAsia="楷体_GB2312"/>
          <w:sz w:val="24"/>
        </w:rPr>
        <w:t>“资产支持证券持有人”享有与其持有“资产支持证券”类别和数额相对应的“信托受益权”份额。“资产支持证券”是其持有人享有本“信托”的相应“信托受益权”及承担相应义务的证明。</w:t>
      </w:r>
    </w:p>
    <w:p w14:paraId="28A2E69D">
      <w:pPr>
        <w:numPr>
          <w:ilvl w:val="2"/>
          <w:numId w:val="6"/>
        </w:numPr>
        <w:tabs>
          <w:tab w:val="left" w:pos="900"/>
        </w:tabs>
        <w:spacing w:before="156" w:beforeLines="50" w:after="156" w:afterLines="50" w:line="360" w:lineRule="auto"/>
        <w:ind w:left="1620" w:hanging="769"/>
        <w:rPr>
          <w:rFonts w:ascii="Times New Roman" w:hAnsi="Times New Roman" w:eastAsia="楷体_GB2312"/>
          <w:b/>
          <w:sz w:val="24"/>
        </w:rPr>
      </w:pPr>
      <w:bookmarkStart w:id="350" w:name="_Toc111281793"/>
      <w:r>
        <w:rPr>
          <w:rFonts w:ascii="Times New Roman" w:hAnsi="Times New Roman" w:eastAsia="楷体_GB2312"/>
          <w:b/>
          <w:sz w:val="24"/>
        </w:rPr>
        <w:t>资产支持证券的结算</w:t>
      </w:r>
      <w:bookmarkEnd w:id="350"/>
    </w:p>
    <w:p w14:paraId="0C75EAE8">
      <w:pPr>
        <w:numPr>
          <w:ilvl w:val="0"/>
          <w:numId w:val="21"/>
        </w:numPr>
        <w:tabs>
          <w:tab w:val="left" w:pos="1333"/>
        </w:tabs>
        <w:spacing w:before="156" w:beforeLines="50" w:after="156" w:afterLines="50" w:line="360" w:lineRule="auto"/>
        <w:rPr>
          <w:rFonts w:ascii="Times New Roman" w:hAnsi="Times New Roman" w:eastAsia="楷体_GB2312"/>
        </w:rPr>
      </w:pPr>
      <w:r>
        <w:rPr>
          <w:rFonts w:ascii="Times New Roman" w:hAnsi="Times New Roman" w:eastAsia="楷体_GB2312"/>
          <w:sz w:val="24"/>
        </w:rPr>
        <w:t>“资产支持证券”结算按照所适用的“中国”“法律”的规定执行。</w:t>
      </w:r>
    </w:p>
    <w:p w14:paraId="22C17FE7">
      <w:pPr>
        <w:numPr>
          <w:ilvl w:val="0"/>
          <w:numId w:val="21"/>
        </w:numPr>
        <w:tabs>
          <w:tab w:val="left" w:pos="1333"/>
        </w:tabs>
        <w:spacing w:before="156" w:beforeLines="50" w:after="156" w:afterLines="50" w:line="360" w:lineRule="auto"/>
        <w:rPr>
          <w:rFonts w:ascii="Times New Roman" w:hAnsi="Times New Roman" w:eastAsia="楷体_GB2312"/>
        </w:rPr>
      </w:pPr>
      <w:r>
        <w:rPr>
          <w:rFonts w:ascii="Times New Roman" w:hAnsi="Times New Roman" w:eastAsia="楷体_GB2312"/>
          <w:sz w:val="24"/>
        </w:rPr>
        <w:t>除“发起机构”自持的“资产支持证券”外，“资产支持证券持有人”可以将“资产支持证券”依法转让、用于清偿债务或以其他合法方式进行移转，并按照相关规定办理相应的变更登记手续。</w:t>
      </w:r>
    </w:p>
    <w:p w14:paraId="74548E8A">
      <w:pPr>
        <w:numPr>
          <w:ilvl w:val="2"/>
          <w:numId w:val="6"/>
        </w:numPr>
        <w:tabs>
          <w:tab w:val="left" w:pos="900"/>
        </w:tabs>
        <w:spacing w:before="156" w:beforeLines="50" w:after="156" w:afterLines="50" w:line="360" w:lineRule="auto"/>
        <w:ind w:left="1620" w:hanging="769"/>
        <w:rPr>
          <w:rFonts w:ascii="Times New Roman" w:hAnsi="Times New Roman" w:eastAsia="楷体_GB2312"/>
          <w:b/>
          <w:sz w:val="24"/>
        </w:rPr>
      </w:pPr>
      <w:bookmarkStart w:id="351" w:name="_Toc111281794"/>
      <w:r>
        <w:rPr>
          <w:rFonts w:ascii="Times New Roman" w:hAnsi="Times New Roman" w:eastAsia="楷体_GB2312"/>
          <w:b/>
          <w:sz w:val="24"/>
        </w:rPr>
        <w:t>资产支持证券发行不成功</w:t>
      </w:r>
      <w:bookmarkEnd w:id="351"/>
    </w:p>
    <w:p w14:paraId="6AED4B3A">
      <w:pPr>
        <w:numPr>
          <w:ilvl w:val="0"/>
          <w:numId w:val="22"/>
        </w:numPr>
        <w:tabs>
          <w:tab w:val="left" w:pos="1333"/>
        </w:tabs>
        <w:spacing w:before="156" w:beforeLines="50" w:after="156" w:afterLines="50" w:line="360" w:lineRule="auto"/>
        <w:rPr>
          <w:rFonts w:ascii="Times New Roman" w:hAnsi="Times New Roman" w:eastAsia="楷体_GB2312"/>
        </w:rPr>
      </w:pPr>
      <w:r>
        <w:rPr>
          <w:rFonts w:ascii="Times New Roman" w:hAnsi="Times New Roman" w:eastAsia="楷体_GB2312"/>
          <w:sz w:val="24"/>
        </w:rPr>
        <w:t>如果各档“资产支持证券”（向“发起机构”发行的“资产支持证券”除外）未能全部得到足额认购，则视为“资产支持证券”发行不成功。在发行不成功的情形下，除本合同另有约定外，“委托人”和“受托人”自行承担因发行“资产支持证券”而支出的各自的费用。“资产支持证券”发行不成功的，“委托人”和“受托人”可以另行协商发行安排。</w:t>
      </w:r>
    </w:p>
    <w:p w14:paraId="2C6BDD18">
      <w:pPr>
        <w:numPr>
          <w:ilvl w:val="0"/>
          <w:numId w:val="22"/>
        </w:numPr>
        <w:tabs>
          <w:tab w:val="left" w:pos="1333"/>
        </w:tabs>
        <w:spacing w:before="156" w:beforeLines="50" w:after="156" w:afterLines="50" w:line="360" w:lineRule="auto"/>
        <w:rPr>
          <w:rFonts w:ascii="Times New Roman" w:hAnsi="Times New Roman" w:eastAsia="楷体_GB2312"/>
        </w:rPr>
      </w:pPr>
      <w:bookmarkStart w:id="352" w:name="_Ref112061754"/>
      <w:r>
        <w:rPr>
          <w:rFonts w:ascii="Times New Roman" w:hAnsi="Times New Roman" w:eastAsia="楷体_GB2312"/>
          <w:sz w:val="24"/>
        </w:rPr>
        <w:t>“资产支持证券”发行不成功的，“受托人”应不迟于发行结束后的【】“工作日”向“登记托管机构”提供《发行结果公告》，以便“登记托管机构”据此办理“资产支持证券”注销手续</w:t>
      </w:r>
      <w:bookmarkEnd w:id="352"/>
      <w:r>
        <w:rPr>
          <w:rFonts w:ascii="Times New Roman" w:hAnsi="Times New Roman" w:eastAsia="楷体_GB2312"/>
          <w:sz w:val="24"/>
        </w:rPr>
        <w:t>。</w:t>
      </w:r>
    </w:p>
    <w:bookmarkEnd w:id="349"/>
    <w:p w14:paraId="410DA049">
      <w:pPr>
        <w:numPr>
          <w:ilvl w:val="0"/>
          <w:numId w:val="6"/>
        </w:numPr>
        <w:spacing w:before="156" w:beforeLines="50" w:after="156" w:afterLines="50" w:line="360" w:lineRule="auto"/>
        <w:outlineLvl w:val="0"/>
        <w:rPr>
          <w:rFonts w:ascii="Times New Roman" w:hAnsi="Times New Roman" w:eastAsia="楷体_GB2312"/>
          <w:b/>
          <w:sz w:val="24"/>
        </w:rPr>
      </w:pPr>
      <w:bookmarkStart w:id="353" w:name="_Toc204497524"/>
      <w:bookmarkEnd w:id="353"/>
      <w:bookmarkStart w:id="354" w:name="_Toc146989589"/>
      <w:bookmarkEnd w:id="354"/>
      <w:bookmarkStart w:id="355" w:name="_Toc106417380"/>
      <w:bookmarkEnd w:id="355"/>
      <w:bookmarkStart w:id="356" w:name="_Toc201569412"/>
      <w:bookmarkStart w:id="357" w:name="_Toc227694330"/>
      <w:bookmarkStart w:id="358" w:name="_Ref150588804"/>
      <w:bookmarkStart w:id="359" w:name="_Ref150547317"/>
      <w:r>
        <w:rPr>
          <w:rFonts w:ascii="Times New Roman" w:hAnsi="Times New Roman" w:eastAsia="楷体_GB2312"/>
          <w:b/>
          <w:sz w:val="24"/>
        </w:rPr>
        <w:t>信托账户</w:t>
      </w:r>
      <w:bookmarkEnd w:id="356"/>
      <w:bookmarkEnd w:id="357"/>
    </w:p>
    <w:p w14:paraId="42CADDB2">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信托账户的设立</w:t>
      </w:r>
    </w:p>
    <w:p w14:paraId="7BA7D2F2">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在“信托设立日”当日或之前，“受托人”应根据“《资金保管合同》”的约定以“受托人”的名称在“资金保管机构”开立独立的人民币信托专用账户（“信托账户”）。“信托账户”下设立“信托收款账户”、“信托付款账户”、“</w:t>
      </w:r>
      <w:bookmarkStart w:id="360" w:name="_Hlk220501789"/>
      <w:r>
        <w:rPr>
          <w:rFonts w:ascii="Times New Roman" w:hAnsi="Times New Roman" w:eastAsia="楷体_GB2312"/>
          <w:sz w:val="24"/>
        </w:rPr>
        <w:t>信托（流动性）储备账户</w:t>
      </w:r>
      <w:bookmarkEnd w:id="360"/>
      <w:r>
        <w:rPr>
          <w:rFonts w:ascii="Times New Roman" w:hAnsi="Times New Roman" w:eastAsia="楷体_GB2312"/>
          <w:sz w:val="24"/>
        </w:rPr>
        <w:t>”。“信托收款账户”下设“收入分账户”、“本金分账户”子账户。“信托付款账户”下设“信托分配（税收）账户”、“信托分配（费用和开支）账户”、“信托分配（证券）账户”子账户。</w:t>
      </w:r>
    </w:p>
    <w:p w14:paraId="70549395">
      <w:pPr>
        <w:tabs>
          <w:tab w:val="left" w:pos="4973"/>
        </w:tabs>
        <w:spacing w:before="156" w:beforeLines="50" w:after="156" w:afterLines="50" w:line="360" w:lineRule="auto"/>
        <w:ind w:left="425" w:firstLine="964" w:firstLineChars="400"/>
        <w:rPr>
          <w:rFonts w:ascii="Times New Roman" w:hAnsi="Times New Roman" w:eastAsia="楷体_GB2312"/>
          <w:b/>
          <w:color w:val="000000"/>
          <w:sz w:val="24"/>
        </w:rPr>
      </w:pPr>
      <w:r>
        <w:rPr>
          <w:rFonts w:ascii="Times New Roman" w:hAnsi="Times New Roman" w:eastAsia="楷体_GB2312"/>
          <w:b/>
          <w:bCs/>
          <w:i/>
          <w:iCs/>
          <w:color w:val="FF0000"/>
          <w:sz w:val="24"/>
        </w:rPr>
        <w:t>【注：账户设置可视项目实际情况调整。】</w:t>
      </w:r>
    </w:p>
    <w:p w14:paraId="77AEBD20">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根据“《资金保管合同》”解任“资金保管机构”后，“资产支持证券持有人大会”应任命“替代资金保管机构”。“替代资金保管机构”应是符合以下条件的商业银行：(a)具备“必备评级等级”；(b)愿意按照“《资金保管合同》”的条款担任“资金保管机构”且具备资金保管机构业务资格。“受托人”应于实际可行时尽快但至迟于任命“替代资金保管机构”后的【】个“工作日”内在“替代资金保管机构”为“信托”开立新的信托专用账户并将“信托账户”内的资金及其存款转入该信托专用账户。</w:t>
      </w:r>
    </w:p>
    <w:p w14:paraId="059A7A87">
      <w:pPr>
        <w:numPr>
          <w:ilvl w:val="1"/>
          <w:numId w:val="6"/>
        </w:numPr>
        <w:spacing w:before="156" w:beforeLines="50" w:after="156" w:afterLines="50" w:line="360" w:lineRule="auto"/>
        <w:outlineLvl w:val="1"/>
        <w:rPr>
          <w:rFonts w:ascii="Times New Roman" w:hAnsi="Times New Roman" w:eastAsia="楷体_GB2312"/>
          <w:b/>
          <w:sz w:val="24"/>
        </w:rPr>
      </w:pPr>
      <w:bookmarkStart w:id="361" w:name="_Toc204497526"/>
      <w:bookmarkEnd w:id="361"/>
      <w:r>
        <w:rPr>
          <w:rFonts w:ascii="Times New Roman" w:hAnsi="Times New Roman" w:eastAsia="楷体_GB2312"/>
          <w:b/>
          <w:sz w:val="24"/>
        </w:rPr>
        <w:t>信托收款账户</w:t>
      </w:r>
    </w:p>
    <w:p w14:paraId="125B30F0">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收入分账户</w:t>
      </w:r>
    </w:p>
    <w:p w14:paraId="4F711AE3">
      <w:pPr>
        <w:tabs>
          <w:tab w:val="left" w:pos="900"/>
        </w:tabs>
        <w:spacing w:before="156" w:beforeLines="50" w:after="156" w:afterLines="50" w:line="360" w:lineRule="auto"/>
        <w:ind w:left="1620"/>
        <w:rPr>
          <w:rFonts w:ascii="Times New Roman" w:hAnsi="Times New Roman" w:eastAsia="楷体_GB2312"/>
          <w:sz w:val="24"/>
        </w:rPr>
      </w:pPr>
      <w:r>
        <w:rPr>
          <w:rFonts w:ascii="Times New Roman" w:hAnsi="Times New Roman" w:eastAsia="楷体_GB2312"/>
          <w:sz w:val="24"/>
        </w:rPr>
        <w:t>“受托人”应当将“收入回收款”以及按照本合同约定转入“收入分账户”的资金记入“收入分账户”，并按照本合同第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_Ref201563930 \r \h  \* MERGEFORMAT </w:instrText>
      </w:r>
      <w:r>
        <w:rPr>
          <w:rFonts w:ascii="Times New Roman" w:hAnsi="Times New Roman" w:eastAsia="楷体_GB2312"/>
          <w:sz w:val="24"/>
        </w:rPr>
        <w:fldChar w:fldCharType="separate"/>
      </w:r>
      <w:r>
        <w:rPr>
          <w:rFonts w:ascii="Times New Roman" w:hAnsi="Times New Roman" w:eastAsia="楷体_GB2312"/>
          <w:sz w:val="24"/>
        </w:rPr>
        <w:t>11</w:t>
      </w:r>
      <w:r>
        <w:rPr>
          <w:rFonts w:ascii="Times New Roman" w:hAnsi="Times New Roman" w:eastAsia="楷体_GB2312"/>
          <w:sz w:val="24"/>
        </w:rPr>
        <w:fldChar w:fldCharType="end"/>
      </w:r>
      <w:r>
        <w:rPr>
          <w:rFonts w:ascii="Times New Roman" w:hAnsi="Times New Roman" w:eastAsia="楷体_GB2312"/>
          <w:sz w:val="24"/>
        </w:rPr>
        <w:t>条的约定运用“收入分账户”项下的资金。</w:t>
      </w:r>
    </w:p>
    <w:p w14:paraId="41215D0B">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本金分账户</w:t>
      </w:r>
    </w:p>
    <w:p w14:paraId="37FB3C06">
      <w:pPr>
        <w:tabs>
          <w:tab w:val="left" w:pos="900"/>
        </w:tabs>
        <w:spacing w:before="156" w:beforeLines="50" w:after="156" w:afterLines="50" w:line="360" w:lineRule="auto"/>
        <w:ind w:left="1620"/>
        <w:rPr>
          <w:rFonts w:ascii="Times New Roman" w:hAnsi="Times New Roman" w:eastAsia="楷体_GB2312"/>
          <w:sz w:val="24"/>
        </w:rPr>
      </w:pPr>
      <w:r>
        <w:rPr>
          <w:rFonts w:ascii="Times New Roman" w:hAnsi="Times New Roman" w:eastAsia="楷体_GB2312"/>
          <w:sz w:val="24"/>
        </w:rPr>
        <w:t>“受托人”应当将“本金回收款”以及按照本合同约定转入“本金分账户”的资金记入“本金分账户”，并按照本合同第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_Ref201563930 \r \h  \* MERGEFORMAT </w:instrText>
      </w:r>
      <w:r>
        <w:rPr>
          <w:rFonts w:ascii="Times New Roman" w:hAnsi="Times New Roman" w:eastAsia="楷体_GB2312"/>
          <w:sz w:val="24"/>
        </w:rPr>
        <w:fldChar w:fldCharType="separate"/>
      </w:r>
      <w:r>
        <w:rPr>
          <w:rFonts w:ascii="Times New Roman" w:hAnsi="Times New Roman" w:eastAsia="楷体_GB2312"/>
          <w:sz w:val="24"/>
        </w:rPr>
        <w:t>11</w:t>
      </w:r>
      <w:r>
        <w:rPr>
          <w:rFonts w:ascii="Times New Roman" w:hAnsi="Times New Roman" w:eastAsia="楷体_GB2312"/>
          <w:sz w:val="24"/>
        </w:rPr>
        <w:fldChar w:fldCharType="end"/>
      </w:r>
      <w:r>
        <w:rPr>
          <w:rFonts w:ascii="Times New Roman" w:hAnsi="Times New Roman" w:eastAsia="楷体_GB2312"/>
          <w:sz w:val="24"/>
        </w:rPr>
        <w:t>条的约定运用“本金分账户”项下的资金。</w:t>
      </w:r>
    </w:p>
    <w:p w14:paraId="3C3A8188">
      <w:pPr>
        <w:numPr>
          <w:ilvl w:val="1"/>
          <w:numId w:val="6"/>
        </w:numPr>
        <w:spacing w:before="156" w:beforeLines="50" w:after="156" w:afterLines="50" w:line="360" w:lineRule="auto"/>
        <w:outlineLvl w:val="1"/>
        <w:rPr>
          <w:rFonts w:ascii="Times New Roman" w:hAnsi="Times New Roman" w:eastAsia="楷体_GB2312"/>
          <w:b/>
          <w:sz w:val="24"/>
        </w:rPr>
      </w:pPr>
      <w:bookmarkStart w:id="362" w:name="_Toc201569417"/>
      <w:r>
        <w:rPr>
          <w:rFonts w:ascii="Times New Roman" w:hAnsi="Times New Roman" w:eastAsia="楷体_GB2312"/>
          <w:b/>
          <w:sz w:val="24"/>
        </w:rPr>
        <w:t>信托付款账户</w:t>
      </w:r>
    </w:p>
    <w:p w14:paraId="2B87FF98">
      <w:pPr>
        <w:spacing w:before="156" w:beforeLines="50" w:after="156" w:afterLines="50" w:line="360" w:lineRule="auto"/>
        <w:ind w:left="991" w:leftChars="472"/>
        <w:rPr>
          <w:rFonts w:ascii="Times New Roman" w:hAnsi="Times New Roman" w:eastAsia="楷体_GB2312"/>
          <w:sz w:val="24"/>
        </w:rPr>
      </w:pPr>
      <w:r>
        <w:rPr>
          <w:rFonts w:ascii="Times New Roman" w:hAnsi="Times New Roman" w:eastAsia="楷体_GB2312"/>
          <w:sz w:val="24"/>
        </w:rPr>
        <w:t>“信托付款账户”应根据本合同从“信托收款账户”中取得资金，并于相应的“支付日”将“信托付款账户”内资金按照本合同的约定进行支付。</w:t>
      </w:r>
    </w:p>
    <w:p w14:paraId="1B65451C">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信托（流动性）储备账户</w:t>
      </w:r>
    </w:p>
    <w:p w14:paraId="17190350">
      <w:pPr>
        <w:spacing w:before="156" w:beforeLines="50" w:after="156" w:afterLines="50" w:line="360" w:lineRule="auto"/>
        <w:ind w:left="991" w:leftChars="472"/>
        <w:rPr>
          <w:rFonts w:ascii="Times New Roman" w:hAnsi="Times New Roman" w:eastAsia="楷体_GB2312"/>
          <w:sz w:val="24"/>
        </w:rPr>
      </w:pPr>
      <w:r>
        <w:rPr>
          <w:rFonts w:ascii="Times New Roman" w:hAnsi="Times New Roman" w:eastAsia="楷体_GB2312"/>
          <w:sz w:val="24"/>
        </w:rPr>
        <w:t>“信托（流动性）储备账户”应根据本合同从“信托收款账户”中取得资金。</w:t>
      </w:r>
    </w:p>
    <w:bookmarkEnd w:id="362"/>
    <w:p w14:paraId="35A0DA1F">
      <w:pPr>
        <w:numPr>
          <w:ilvl w:val="0"/>
          <w:numId w:val="6"/>
        </w:numPr>
        <w:spacing w:before="156" w:beforeLines="50" w:after="156" w:afterLines="50" w:line="360" w:lineRule="auto"/>
        <w:outlineLvl w:val="0"/>
        <w:rPr>
          <w:rFonts w:ascii="Times New Roman" w:hAnsi="Times New Roman" w:eastAsia="楷体_GB2312"/>
          <w:b/>
          <w:sz w:val="24"/>
        </w:rPr>
      </w:pPr>
      <w:bookmarkStart w:id="363" w:name="_Toc387837817"/>
      <w:bookmarkEnd w:id="363"/>
      <w:bookmarkStart w:id="364" w:name="_Toc387848422"/>
      <w:bookmarkEnd w:id="364"/>
      <w:bookmarkStart w:id="365" w:name="_Toc387837818"/>
      <w:bookmarkEnd w:id="365"/>
      <w:bookmarkStart w:id="366" w:name="_Toc387837725"/>
      <w:bookmarkEnd w:id="366"/>
      <w:bookmarkStart w:id="367" w:name="_Toc387837632"/>
      <w:bookmarkEnd w:id="367"/>
      <w:bookmarkStart w:id="368" w:name="_Toc387837631"/>
      <w:bookmarkEnd w:id="368"/>
      <w:bookmarkStart w:id="369" w:name="_Toc204497528"/>
      <w:bookmarkEnd w:id="369"/>
      <w:bookmarkStart w:id="370" w:name="_Toc220499912"/>
      <w:bookmarkEnd w:id="370"/>
      <w:bookmarkStart w:id="371" w:name="_Toc387837726"/>
      <w:bookmarkEnd w:id="371"/>
      <w:bookmarkStart w:id="372" w:name="_Toc387848423"/>
      <w:bookmarkEnd w:id="372"/>
      <w:bookmarkStart w:id="373" w:name="_Toc201569420"/>
      <w:bookmarkStart w:id="374" w:name="_Ref201563930"/>
      <w:bookmarkStart w:id="375" w:name="_Toc227694331"/>
      <w:r>
        <w:rPr>
          <w:rFonts w:ascii="Times New Roman" w:hAnsi="Times New Roman" w:eastAsia="楷体_GB2312"/>
          <w:b/>
          <w:sz w:val="24"/>
        </w:rPr>
        <w:t>回收款的转付、核算与分配</w:t>
      </w:r>
      <w:bookmarkEnd w:id="373"/>
      <w:bookmarkEnd w:id="374"/>
      <w:bookmarkEnd w:id="375"/>
    </w:p>
    <w:p w14:paraId="76DCAABB">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回收款的转付</w:t>
      </w:r>
    </w:p>
    <w:p w14:paraId="0A8EAF1D">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“受托人”应授权并要求“贷款服务机构”按照“《服务合同》”的相关约定，于每个“回收款转付日”【</w:t>
      </w:r>
      <w:r>
        <w:rPr>
          <w:rFonts w:hint="eastAsia" w:ascii="Times New Roman" w:hAnsi="Times New Roman" w:eastAsia="楷体_GB2312"/>
          <w:i/>
          <w:iCs/>
          <w:sz w:val="24"/>
        </w:rPr>
        <w:t>具体时点</w:t>
      </w:r>
      <w:r>
        <w:rPr>
          <w:rFonts w:ascii="Times New Roman" w:hAnsi="Times New Roman" w:eastAsia="楷体_GB2312"/>
          <w:sz w:val="24"/>
        </w:rPr>
        <w:t>】前将前一个“回收款转付期间”的全部“回收款”转入“信托账户”。在“贷款服务机构”于每个“回收款转付日”转付“回收款”以前，“回收款”在“贷款服务机构”的账户中不计任何利息。</w:t>
      </w:r>
    </w:p>
    <w:p w14:paraId="1EE0A3A9">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受托人”应授权并要求“资金保管机构”按照“《资金保管合同》”的相关约定于每个“服务机构报告日”当日或之前根据“贷款服务机构”的资金汇划附言或相关通知，将“信托账户”收到的“回收款”分别记入“收入分账户”和“本金分账户”。</w:t>
      </w:r>
    </w:p>
    <w:p w14:paraId="2AF33FBF">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信托账户内资金的结息</w:t>
      </w:r>
    </w:p>
    <w:p w14:paraId="50E14273">
      <w:pPr>
        <w:spacing w:before="156" w:beforeLines="50" w:after="156" w:afterLines="50" w:line="360" w:lineRule="auto"/>
        <w:ind w:left="851"/>
        <w:rPr>
          <w:rFonts w:ascii="Times New Roman" w:hAnsi="Times New Roman" w:eastAsia="楷体_GB2312"/>
          <w:sz w:val="24"/>
        </w:rPr>
      </w:pPr>
      <w:r>
        <w:rPr>
          <w:rFonts w:ascii="Times New Roman" w:hAnsi="Times New Roman" w:eastAsia="楷体_GB2312"/>
          <w:sz w:val="24"/>
        </w:rPr>
        <w:t>“信托账户”内的资金所产生的利息由“资金保管机构”根据“《资金保管合同》”的约定于“资金保管机构结息日”结息，该等利息应记入“收入分账户”。</w:t>
      </w:r>
    </w:p>
    <w:p w14:paraId="6CBF1B3A">
      <w:pPr>
        <w:numPr>
          <w:ilvl w:val="1"/>
          <w:numId w:val="6"/>
        </w:numPr>
        <w:spacing w:before="156" w:beforeLines="50" w:after="156" w:afterLines="50" w:line="360" w:lineRule="auto"/>
        <w:outlineLvl w:val="1"/>
        <w:rPr>
          <w:rFonts w:ascii="Times New Roman" w:hAnsi="Times New Roman" w:eastAsia="楷体_GB2312"/>
          <w:b/>
          <w:sz w:val="24"/>
        </w:rPr>
      </w:pPr>
      <w:bookmarkStart w:id="376" w:name="_Ref182056346"/>
      <w:r>
        <w:rPr>
          <w:rFonts w:ascii="Times New Roman" w:hAnsi="Times New Roman" w:eastAsia="楷体_GB2312"/>
          <w:b/>
          <w:sz w:val="24"/>
        </w:rPr>
        <w:t>合格投资</w:t>
      </w:r>
      <w:bookmarkEnd w:id="376"/>
    </w:p>
    <w:p w14:paraId="7A847E06">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受托人”有权指示“资金保管机构”将“信托账户”中待分配的资金运用于“合格投资”。“信托收款账户”、“信托付款账户”、“信托（流动性）储备账户”项下的资金应分别进行投资，且回收的投资本金只能相应转入到支出投资本金的前述账户项下。“受托人”应保存所有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_Ref182056346 \r \h  \* MERGEFORMAT </w:instrText>
      </w:r>
      <w:r>
        <w:rPr>
          <w:rFonts w:ascii="Times New Roman" w:hAnsi="Times New Roman" w:eastAsia="楷体_GB2312"/>
          <w:sz w:val="24"/>
        </w:rPr>
        <w:fldChar w:fldCharType="separate"/>
      </w:r>
      <w:r>
        <w:rPr>
          <w:rFonts w:ascii="Times New Roman" w:hAnsi="Times New Roman" w:eastAsia="楷体_GB2312"/>
          <w:sz w:val="24"/>
        </w:rPr>
        <w:t>11.3</w:t>
      </w:r>
      <w:r>
        <w:rPr>
          <w:rFonts w:ascii="Times New Roman" w:hAnsi="Times New Roman" w:eastAsia="楷体_GB2312"/>
          <w:sz w:val="24"/>
        </w:rPr>
        <w:fldChar w:fldCharType="end"/>
      </w:r>
      <w:r>
        <w:rPr>
          <w:rFonts w:ascii="Times New Roman" w:hAnsi="Times New Roman" w:eastAsia="楷体_GB2312"/>
          <w:sz w:val="24"/>
        </w:rPr>
        <w:t>款约定取得、处分“合格投资”的记录。</w:t>
      </w:r>
    </w:p>
    <w:p w14:paraId="47E3930E">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bookmarkStart w:id="377" w:name="OLE_LINK1"/>
      <w:bookmarkStart w:id="378" w:name="_Ref185827624"/>
      <w:r>
        <w:rPr>
          <w:rFonts w:ascii="Times New Roman" w:hAnsi="Times New Roman" w:eastAsia="楷体_GB2312"/>
          <w:sz w:val="24"/>
        </w:rPr>
        <w:t>“信托收款账户”、“信托付款账户”、“信托（流动性）储备账户”项下资金</w:t>
      </w:r>
      <w:bookmarkEnd w:id="377"/>
      <w:r>
        <w:rPr>
          <w:rFonts w:ascii="Times New Roman" w:hAnsi="Times New Roman" w:eastAsia="楷体_GB2312"/>
          <w:sz w:val="24"/>
        </w:rPr>
        <w:t>的“合格投资”的全部投资收益构成“收入回收款”的一部分，应直接转入“收入分账户”并</w:t>
      </w:r>
      <w:bookmarkEnd w:id="378"/>
      <w:bookmarkStart w:id="379" w:name="_Ref185827627"/>
      <w:r>
        <w:rPr>
          <w:rFonts w:ascii="Times New Roman" w:hAnsi="Times New Roman" w:eastAsia="楷体_GB2312"/>
          <w:sz w:val="24"/>
        </w:rPr>
        <w:t>于每个“信托分配日”按照“《信托合同》”第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_Ref201563930 \r \h  \* MERGEFORMAT </w:instrText>
      </w:r>
      <w:r>
        <w:rPr>
          <w:rFonts w:ascii="Times New Roman" w:hAnsi="Times New Roman" w:eastAsia="楷体_GB2312"/>
          <w:sz w:val="24"/>
        </w:rPr>
        <w:fldChar w:fldCharType="separate"/>
      </w:r>
      <w:r>
        <w:rPr>
          <w:rFonts w:ascii="Times New Roman" w:hAnsi="Times New Roman" w:eastAsia="楷体_GB2312"/>
          <w:sz w:val="24"/>
        </w:rPr>
        <w:t>11</w:t>
      </w:r>
      <w:r>
        <w:rPr>
          <w:rFonts w:ascii="Times New Roman" w:hAnsi="Times New Roman" w:eastAsia="楷体_GB2312"/>
          <w:sz w:val="24"/>
        </w:rPr>
        <w:fldChar w:fldCharType="end"/>
      </w:r>
      <w:r>
        <w:rPr>
          <w:rFonts w:ascii="Times New Roman" w:hAnsi="Times New Roman" w:eastAsia="楷体_GB2312"/>
          <w:sz w:val="24"/>
        </w:rPr>
        <w:t>条的约定运用。</w:t>
      </w:r>
      <w:bookmarkEnd w:id="379"/>
    </w:p>
    <w:p w14:paraId="008D6911">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如果一项投资不再是“合格投资”，“受托人”应事先通知“评级机构”，于实际可行时尽快清算该等投资，并将所得款项再投资于“合格投资”。</w:t>
      </w:r>
    </w:p>
    <w:p w14:paraId="4C0450A5">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只要“受托人”指示“资金保管机构”将“信托账户”中的资金投资于“合格投资”，“资金保管机构”按照“《资金保管合同》”的约定将“信托账户”中的资金用于“合格投资”，则“资金保管机构”和“受托人”对于因价值贬损或该等“合格投资”造成的任何损失不承担责任，对于该等投资的回报少于采用其他形式投资或向其他机构投资所得的回报也不承担责任。</w:t>
      </w:r>
    </w:p>
    <w:p w14:paraId="5C96AEDF">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信托账户内资金的核算与分配</w:t>
      </w:r>
    </w:p>
    <w:p w14:paraId="1BBF79A8">
      <w:pPr>
        <w:spacing w:before="156" w:beforeLines="50" w:after="156" w:afterLines="50" w:line="360" w:lineRule="auto"/>
        <w:ind w:left="992"/>
        <w:rPr>
          <w:rFonts w:ascii="Times New Roman" w:hAnsi="Times New Roman" w:eastAsia="楷体_GB2312"/>
          <w:b/>
          <w:sz w:val="24"/>
        </w:rPr>
      </w:pPr>
      <w:r>
        <w:rPr>
          <w:rFonts w:eastAsia="楷体_GB2312"/>
          <w:b/>
          <w:i/>
          <w:iCs/>
          <w:color w:val="FF0000"/>
          <w:sz w:val="24"/>
        </w:rPr>
        <w:t>【注：信托账项下资金的核算与分配时间可根据证券分层和实际情况调整。】</w:t>
      </w:r>
    </w:p>
    <w:p w14:paraId="1BAAD0F0">
      <w:pPr>
        <w:numPr>
          <w:ilvl w:val="2"/>
          <w:numId w:val="6"/>
        </w:numPr>
        <w:tabs>
          <w:tab w:val="left" w:pos="900"/>
        </w:tabs>
        <w:spacing w:before="156" w:beforeLines="50" w:after="156" w:afterLines="50" w:line="360" w:lineRule="auto"/>
        <w:ind w:left="1620" w:hanging="769"/>
        <w:rPr>
          <w:rFonts w:ascii="Times New Roman" w:hAnsi="Times New Roman" w:eastAsia="楷体_GB2312"/>
          <w:b/>
          <w:sz w:val="24"/>
        </w:rPr>
      </w:pPr>
      <w:r>
        <w:rPr>
          <w:rFonts w:ascii="Times New Roman" w:hAnsi="Times New Roman" w:eastAsia="楷体_GB2312"/>
          <w:sz w:val="24"/>
        </w:rPr>
        <w:t>“资产支持证券持有人”均有权按照本合同第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_Ref201563930 \r \h  \* MERGEFORMAT </w:instrText>
      </w:r>
      <w:r>
        <w:rPr>
          <w:rFonts w:ascii="Times New Roman" w:hAnsi="Times New Roman" w:eastAsia="楷体_GB2312"/>
          <w:sz w:val="24"/>
        </w:rPr>
        <w:fldChar w:fldCharType="separate"/>
      </w:r>
      <w:r>
        <w:rPr>
          <w:rFonts w:ascii="Times New Roman" w:hAnsi="Times New Roman" w:eastAsia="楷体_GB2312"/>
          <w:sz w:val="24"/>
        </w:rPr>
        <w:t>11</w:t>
      </w:r>
      <w:r>
        <w:rPr>
          <w:rFonts w:ascii="Times New Roman" w:hAnsi="Times New Roman" w:eastAsia="楷体_GB2312"/>
          <w:sz w:val="24"/>
        </w:rPr>
        <w:fldChar w:fldCharType="end"/>
      </w:r>
      <w:r>
        <w:rPr>
          <w:rFonts w:ascii="Times New Roman" w:hAnsi="Times New Roman" w:eastAsia="楷体_GB2312"/>
          <w:sz w:val="24"/>
        </w:rPr>
        <w:t>条的约定就其享有的“信托受益权”取得“信托利益”。</w:t>
      </w:r>
    </w:p>
    <w:p w14:paraId="031E55CB">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受托人”负责本“信托”项下各项税收、费用、报酬等的核算工作，并应妥善保管上述税收、费用和报酬的相关单据、凭证。“受托人”以其固有财产垫付上述各项税收、费用或报酬的，对“信托财产”享有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_Ref201563930 \r \h  \* MERGEFORMAT </w:instrText>
      </w:r>
      <w:r>
        <w:rPr>
          <w:rFonts w:ascii="Times New Roman" w:hAnsi="Times New Roman" w:eastAsia="楷体_GB2312"/>
          <w:sz w:val="24"/>
        </w:rPr>
        <w:fldChar w:fldCharType="separate"/>
      </w:r>
      <w:r>
        <w:rPr>
          <w:rFonts w:ascii="Times New Roman" w:hAnsi="Times New Roman" w:eastAsia="楷体_GB2312"/>
          <w:sz w:val="24"/>
        </w:rPr>
        <w:t>11</w:t>
      </w:r>
      <w:r>
        <w:rPr>
          <w:rFonts w:ascii="Times New Roman" w:hAnsi="Times New Roman" w:eastAsia="楷体_GB2312"/>
          <w:sz w:val="24"/>
        </w:rPr>
        <w:fldChar w:fldCharType="end"/>
      </w:r>
      <w:r>
        <w:rPr>
          <w:rFonts w:ascii="Times New Roman" w:hAnsi="Times New Roman" w:eastAsia="楷体_GB2312"/>
          <w:sz w:val="24"/>
        </w:rPr>
        <w:t>条约定的支付顺序优先受偿的权利。</w:t>
      </w:r>
    </w:p>
    <w:p w14:paraId="3DCDEE9D">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“受托人”应按照本合同第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_Ref201563930 \r \h  \* MERGEFORMAT </w:instrText>
      </w:r>
      <w:r>
        <w:rPr>
          <w:rFonts w:ascii="Times New Roman" w:hAnsi="Times New Roman" w:eastAsia="楷体_GB2312"/>
          <w:sz w:val="24"/>
        </w:rPr>
        <w:fldChar w:fldCharType="separate"/>
      </w:r>
      <w:r>
        <w:rPr>
          <w:rFonts w:ascii="Times New Roman" w:hAnsi="Times New Roman" w:eastAsia="楷体_GB2312"/>
          <w:sz w:val="24"/>
        </w:rPr>
        <w:t>11</w:t>
      </w:r>
      <w:r>
        <w:rPr>
          <w:rFonts w:ascii="Times New Roman" w:hAnsi="Times New Roman" w:eastAsia="楷体_GB2312"/>
          <w:sz w:val="24"/>
        </w:rPr>
        <w:fldChar w:fldCharType="end"/>
      </w:r>
      <w:r>
        <w:rPr>
          <w:rFonts w:ascii="Times New Roman" w:hAnsi="Times New Roman" w:eastAsia="楷体_GB2312"/>
          <w:sz w:val="24"/>
        </w:rPr>
        <w:t>条的约定于每个“分配指令发送日”向“资金保管机构”发出“分配指令”，“资金保管机构”应按照“分配指令”于每个“信托分配日”分配“信托账户”各分账户项下资金及该“信托分配日”后</w:t>
      </w:r>
      <w:r>
        <w:rPr>
          <w:rFonts w:hint="eastAsia" w:ascii="Times New Roman" w:hAnsi="Times New Roman" w:eastAsia="楷体_GB2312"/>
          <w:bCs/>
          <w:sz w:val="24"/>
        </w:rPr>
        <w:t>的</w:t>
      </w:r>
      <w:r>
        <w:rPr>
          <w:rFonts w:ascii="Times New Roman" w:hAnsi="Times New Roman" w:eastAsia="楷体_GB2312"/>
          <w:sz w:val="24"/>
        </w:rPr>
        <w:t>“支付日”（或“中国”“法律”规定、“交易文件”约定的其他日期）应支付的“资产支持证券”当期应付本息和“费用支出”等有关的每笔资金数额，并按照本合同第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_Ref201563930 \r \h  \* MERGEFORMAT </w:instrText>
      </w:r>
      <w:r>
        <w:rPr>
          <w:rFonts w:ascii="Times New Roman" w:hAnsi="Times New Roman" w:eastAsia="楷体_GB2312"/>
          <w:sz w:val="24"/>
        </w:rPr>
        <w:fldChar w:fldCharType="separate"/>
      </w:r>
      <w:r>
        <w:rPr>
          <w:rFonts w:ascii="Times New Roman" w:hAnsi="Times New Roman" w:eastAsia="楷体_GB2312"/>
          <w:sz w:val="24"/>
        </w:rPr>
        <w:t>11</w:t>
      </w:r>
      <w:r>
        <w:rPr>
          <w:rFonts w:ascii="Times New Roman" w:hAnsi="Times New Roman" w:eastAsia="楷体_GB2312"/>
          <w:sz w:val="24"/>
        </w:rPr>
        <w:fldChar w:fldCharType="end"/>
      </w:r>
      <w:r>
        <w:rPr>
          <w:rFonts w:ascii="Times New Roman" w:hAnsi="Times New Roman" w:eastAsia="楷体_GB2312"/>
          <w:sz w:val="24"/>
        </w:rPr>
        <w:t>条的约定进行相应的分配或支付。</w:t>
      </w:r>
    </w:p>
    <w:p w14:paraId="2047DAC6">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在“信托终止日”之前，所有“回收款”应按照本合同第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_Ref180850300 \r \h  \* MERGEFORMAT </w:instrText>
      </w:r>
      <w:r>
        <w:rPr>
          <w:rFonts w:ascii="Times New Roman" w:hAnsi="Times New Roman" w:eastAsia="楷体_GB2312"/>
          <w:sz w:val="24"/>
        </w:rPr>
        <w:fldChar w:fldCharType="separate"/>
      </w:r>
      <w:r>
        <w:rPr>
          <w:rFonts w:ascii="Times New Roman" w:hAnsi="Times New Roman" w:eastAsia="楷体_GB2312"/>
          <w:sz w:val="24"/>
        </w:rPr>
        <w:t>11.5</w:t>
      </w:r>
      <w:r>
        <w:rPr>
          <w:rFonts w:ascii="Times New Roman" w:hAnsi="Times New Roman" w:eastAsia="楷体_GB2312"/>
          <w:sz w:val="24"/>
        </w:rPr>
        <w:fldChar w:fldCharType="end"/>
      </w:r>
      <w:r>
        <w:rPr>
          <w:rFonts w:ascii="Times New Roman" w:hAnsi="Times New Roman" w:eastAsia="楷体_GB2312"/>
          <w:sz w:val="24"/>
        </w:rPr>
        <w:t>款或第</w:t>
      </w:r>
      <w:r>
        <w:rPr>
          <w:rFonts w:ascii="Times New Roman" w:hAnsi="Times New Roman" w:eastAsia="楷体_GB2312"/>
          <w:sz w:val="24"/>
        </w:rPr>
        <w:fldChar w:fldCharType="begin"/>
      </w:r>
      <w:r>
        <w:rPr>
          <w:rFonts w:ascii="Times New Roman" w:hAnsi="Times New Roman" w:eastAsia="楷体_GB2312"/>
          <w:sz w:val="24"/>
        </w:rPr>
        <w:instrText xml:space="preserve"> REF _Ref180850304 \r \h  \* MERGEFORMAT </w:instrText>
      </w:r>
      <w:r>
        <w:rPr>
          <w:rFonts w:ascii="Times New Roman" w:hAnsi="Times New Roman" w:eastAsia="楷体_GB2312"/>
          <w:sz w:val="24"/>
        </w:rPr>
        <w:fldChar w:fldCharType="separate"/>
      </w:r>
      <w:r>
        <w:rPr>
          <w:rFonts w:ascii="Times New Roman" w:hAnsi="Times New Roman" w:eastAsia="楷体_GB2312"/>
          <w:sz w:val="24"/>
        </w:rPr>
        <w:t>11.6</w:t>
      </w:r>
      <w:r>
        <w:rPr>
          <w:rFonts w:ascii="Times New Roman" w:hAnsi="Times New Roman" w:eastAsia="楷体_GB2312"/>
          <w:sz w:val="24"/>
        </w:rPr>
        <w:fldChar w:fldCharType="end"/>
      </w:r>
      <w:r>
        <w:rPr>
          <w:rFonts w:ascii="Times New Roman" w:hAnsi="Times New Roman" w:eastAsia="楷体_GB2312"/>
          <w:sz w:val="24"/>
        </w:rPr>
        <w:t>款约定的相应顺序进行支付；在“信托终止日”后，所有“回收款”应按照本合同第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_Ref201654968 \r \h  \* MERGEFORMAT </w:instrText>
      </w:r>
      <w:r>
        <w:rPr>
          <w:rFonts w:ascii="Times New Roman" w:hAnsi="Times New Roman" w:eastAsia="楷体_GB2312"/>
          <w:sz w:val="24"/>
        </w:rPr>
        <w:fldChar w:fldCharType="separate"/>
      </w:r>
      <w:r>
        <w:rPr>
          <w:rFonts w:ascii="Times New Roman" w:hAnsi="Times New Roman" w:eastAsia="楷体_GB2312"/>
          <w:sz w:val="24"/>
        </w:rPr>
        <w:t>11.7</w:t>
      </w:r>
      <w:r>
        <w:rPr>
          <w:rFonts w:ascii="Times New Roman" w:hAnsi="Times New Roman" w:eastAsia="楷体_GB2312"/>
          <w:sz w:val="24"/>
        </w:rPr>
        <w:fldChar w:fldCharType="end"/>
      </w:r>
      <w:r>
        <w:rPr>
          <w:rFonts w:ascii="Times New Roman" w:hAnsi="Times New Roman" w:eastAsia="楷体_GB2312"/>
          <w:sz w:val="24"/>
        </w:rPr>
        <w:t>款约定的顺序进行支付。</w:t>
      </w:r>
    </w:p>
    <w:bookmarkEnd w:id="358"/>
    <w:bookmarkEnd w:id="359"/>
    <w:p w14:paraId="7FA0B152">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bookmarkStart w:id="380" w:name="_Toc150895712"/>
      <w:bookmarkEnd w:id="380"/>
      <w:r>
        <w:rPr>
          <w:rFonts w:ascii="Times New Roman" w:hAnsi="Times New Roman" w:eastAsia="楷体_GB2312"/>
          <w:sz w:val="24"/>
        </w:rPr>
        <w:t>“受托人”应不晚于“受托机构报告日”按照本合同第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_Ref221251623 \r \h  \* MERGEFORMAT </w:instrText>
      </w:r>
      <w:r>
        <w:rPr>
          <w:rFonts w:ascii="Times New Roman" w:hAnsi="Times New Roman" w:eastAsia="楷体_GB2312"/>
          <w:sz w:val="24"/>
        </w:rPr>
        <w:fldChar w:fldCharType="separate"/>
      </w:r>
      <w:r>
        <w:rPr>
          <w:rFonts w:ascii="Times New Roman" w:hAnsi="Times New Roman" w:eastAsia="楷体_GB2312"/>
          <w:sz w:val="24"/>
        </w:rPr>
        <w:t>21</w:t>
      </w:r>
      <w:r>
        <w:rPr>
          <w:rFonts w:ascii="Times New Roman" w:hAnsi="Times New Roman" w:eastAsia="楷体_GB2312"/>
          <w:sz w:val="24"/>
        </w:rPr>
        <w:fldChar w:fldCharType="end"/>
      </w:r>
      <w:r>
        <w:rPr>
          <w:rFonts w:ascii="Times New Roman" w:hAnsi="Times New Roman" w:eastAsia="楷体_GB2312"/>
          <w:sz w:val="24"/>
        </w:rPr>
        <w:t>条的约定公布“受托机构月度报告”，并不晚于“支付日”前【】个“工作日”前通过“支付代理机构”的债券综合业务平台等线上电子化业务办理平台发送“资产支持证券”付息兑付或收益分配电子化指令；如发生技术故障等应急情形，“受托人”应当按“支付代理机构”的要求办理。</w:t>
      </w:r>
    </w:p>
    <w:p w14:paraId="52BF9D5C">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“受托人”应于每个“支付日”前的第</w:t>
      </w:r>
      <w:r>
        <w:rPr>
          <w:rFonts w:ascii="Times New Roman" w:hAnsi="Times New Roman" w:eastAsia="楷体_GB2312"/>
          <w:b/>
          <w:sz w:val="24"/>
        </w:rPr>
        <w:t>【】</w:t>
      </w:r>
      <w:r>
        <w:rPr>
          <w:rFonts w:ascii="Times New Roman" w:hAnsi="Times New Roman" w:eastAsia="楷体_GB2312"/>
          <w:sz w:val="24"/>
        </w:rPr>
        <w:t>个“工作日”</w:t>
      </w:r>
      <w:r>
        <w:rPr>
          <w:rFonts w:ascii="Times New Roman" w:hAnsi="Times New Roman" w:eastAsia="楷体_GB2312"/>
          <w:i/>
          <w:iCs/>
          <w:sz w:val="24"/>
        </w:rPr>
        <w:t>【具体时</w:t>
      </w:r>
      <w:r>
        <w:rPr>
          <w:rFonts w:hint="eastAsia" w:ascii="Times New Roman" w:hAnsi="Times New Roman" w:eastAsia="楷体_GB2312"/>
          <w:i/>
          <w:iCs/>
          <w:sz w:val="24"/>
        </w:rPr>
        <w:t>点</w:t>
      </w:r>
      <w:r>
        <w:rPr>
          <w:rFonts w:ascii="Times New Roman" w:hAnsi="Times New Roman" w:eastAsia="楷体_GB2312"/>
          <w:i/>
          <w:iCs/>
          <w:sz w:val="24"/>
        </w:rPr>
        <w:t>】</w:t>
      </w:r>
      <w:r>
        <w:rPr>
          <w:rFonts w:ascii="Times New Roman" w:hAnsi="Times New Roman" w:eastAsia="楷体_GB2312"/>
          <w:sz w:val="24"/>
        </w:rPr>
        <w:t>前，向“资金保管机构”发送“划款指令”：</w:t>
      </w:r>
    </w:p>
    <w:p w14:paraId="1C04B4F5">
      <w:pPr>
        <w:numPr>
          <w:ilvl w:val="0"/>
          <w:numId w:val="23"/>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指令“资金保管机构”不晚于每个“支付日”前</w:t>
      </w:r>
      <w:r>
        <w:rPr>
          <w:rFonts w:ascii="Times New Roman" w:hAnsi="Times New Roman" w:eastAsia="楷体_GB2312"/>
          <w:b/>
          <w:sz w:val="24"/>
        </w:rPr>
        <w:t>【】</w:t>
      </w:r>
      <w:r>
        <w:rPr>
          <w:rFonts w:ascii="Times New Roman" w:hAnsi="Times New Roman" w:eastAsia="楷体_GB2312"/>
          <w:sz w:val="24"/>
        </w:rPr>
        <w:t>个“工作日”</w:t>
      </w:r>
      <w:r>
        <w:rPr>
          <w:rFonts w:ascii="Times New Roman" w:hAnsi="Times New Roman" w:eastAsia="楷体_GB2312"/>
          <w:i/>
          <w:iCs/>
          <w:sz w:val="24"/>
        </w:rPr>
        <w:t>【具体时</w:t>
      </w:r>
      <w:r>
        <w:rPr>
          <w:rFonts w:hint="eastAsia" w:ascii="Times New Roman" w:hAnsi="Times New Roman" w:eastAsia="楷体_GB2312"/>
          <w:i/>
          <w:iCs/>
          <w:sz w:val="24"/>
        </w:rPr>
        <w:t>点</w:t>
      </w:r>
      <w:r>
        <w:rPr>
          <w:rFonts w:ascii="Times New Roman" w:hAnsi="Times New Roman" w:eastAsia="楷体_GB2312"/>
          <w:i/>
          <w:iCs/>
          <w:sz w:val="24"/>
        </w:rPr>
        <w:t>】</w:t>
      </w:r>
      <w:r>
        <w:rPr>
          <w:rFonts w:ascii="Times New Roman" w:hAnsi="Times New Roman" w:eastAsia="楷体_GB2312"/>
          <w:sz w:val="24"/>
        </w:rPr>
        <w:t>将“信托账户”中与向“支付代理机构”发送的“资产支持证券”付息兑付或收益分配指令所载明的金额相符的资金划转至“支付代理机构”指定的资金账户，用于兑付“资产支持证券”的本息及收益；</w:t>
      </w:r>
    </w:p>
    <w:p w14:paraId="7B9EC902">
      <w:pPr>
        <w:numPr>
          <w:ilvl w:val="0"/>
          <w:numId w:val="23"/>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指令“资金保管机构”于每个“支付日”（或“中国”“法律”规定、“交易文件”约定的其他日期）将“信托账户”中相应数额的资金划转至指定账户，用于支付“信托财产”应付的税收、费用、报酬。</w:t>
      </w:r>
    </w:p>
    <w:p w14:paraId="15923FCD">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在“支付日”后</w:t>
      </w:r>
      <w:r>
        <w:rPr>
          <w:rFonts w:ascii="Times New Roman" w:hAnsi="Times New Roman" w:eastAsia="楷体_GB2312"/>
          <w:b/>
          <w:sz w:val="24"/>
        </w:rPr>
        <w:t>【】</w:t>
      </w:r>
      <w:r>
        <w:rPr>
          <w:rFonts w:ascii="Times New Roman" w:hAnsi="Times New Roman" w:eastAsia="楷体_GB2312"/>
          <w:sz w:val="24"/>
        </w:rPr>
        <w:t>个“工作日”内，“受托人”向“支付代理机构”支付兑付服务费。</w:t>
      </w:r>
    </w:p>
    <w:p w14:paraId="26A64882">
      <w:pPr>
        <w:numPr>
          <w:ilvl w:val="1"/>
          <w:numId w:val="6"/>
        </w:numPr>
        <w:spacing w:before="156" w:beforeLines="50" w:after="156" w:afterLines="50" w:line="360" w:lineRule="auto"/>
        <w:outlineLvl w:val="1"/>
        <w:rPr>
          <w:rFonts w:ascii="Times New Roman" w:hAnsi="Times New Roman" w:eastAsia="楷体_GB2312"/>
          <w:b/>
          <w:sz w:val="24"/>
        </w:rPr>
      </w:pPr>
      <w:bookmarkStart w:id="381" w:name="_Ref169088858"/>
      <w:bookmarkStart w:id="382" w:name="_Toc201569421"/>
      <w:bookmarkStart w:id="383" w:name="_Ref180850300"/>
      <w:r>
        <w:rPr>
          <w:rFonts w:ascii="Times New Roman" w:hAnsi="Times New Roman" w:eastAsia="楷体_GB2312"/>
          <w:b/>
          <w:sz w:val="24"/>
        </w:rPr>
        <w:t>违约事件发生前</w:t>
      </w:r>
      <w:bookmarkStart w:id="384" w:name="_Toc120280687"/>
      <w:bookmarkStart w:id="385" w:name="_Ref112317234"/>
      <w:r>
        <w:rPr>
          <w:rFonts w:ascii="Times New Roman" w:hAnsi="Times New Roman" w:eastAsia="楷体_GB2312"/>
          <w:b/>
          <w:sz w:val="24"/>
        </w:rPr>
        <w:t>的</w:t>
      </w:r>
      <w:bookmarkEnd w:id="381"/>
      <w:bookmarkEnd w:id="384"/>
      <w:bookmarkEnd w:id="385"/>
      <w:r>
        <w:rPr>
          <w:rFonts w:ascii="Times New Roman" w:hAnsi="Times New Roman" w:eastAsia="楷体_GB2312"/>
          <w:b/>
          <w:sz w:val="24"/>
        </w:rPr>
        <w:t>回收款分配</w:t>
      </w:r>
      <w:bookmarkEnd w:id="382"/>
      <w:bookmarkEnd w:id="383"/>
    </w:p>
    <w:p w14:paraId="54385D12">
      <w:pPr>
        <w:pStyle w:val="93"/>
        <w:spacing w:line="360" w:lineRule="auto"/>
        <w:ind w:left="425" w:firstLine="415" w:firstLineChars="0"/>
        <w:rPr>
          <w:rFonts w:ascii="Times New Roman" w:hAnsi="Times New Roman" w:eastAsia="楷体_GB2312"/>
          <w:b/>
          <w:i/>
          <w:iCs/>
          <w:color w:val="FF0000"/>
          <w:lang w:eastAsia="zh-CN"/>
        </w:rPr>
      </w:pPr>
      <w:r>
        <w:rPr>
          <w:rFonts w:ascii="Times New Roman" w:hAnsi="Times New Roman" w:eastAsia="楷体_GB2312"/>
          <w:b/>
          <w:bCs/>
          <w:i/>
          <w:iCs/>
          <w:color w:val="FF0000"/>
          <w:lang w:eastAsia="zh-CN"/>
        </w:rPr>
        <w:t>【注：具体项目的现金流分配顺序待根据实际情况调整。】</w:t>
      </w:r>
    </w:p>
    <w:p w14:paraId="11575E13">
      <w:pPr>
        <w:numPr>
          <w:ilvl w:val="2"/>
          <w:numId w:val="6"/>
        </w:numPr>
        <w:tabs>
          <w:tab w:val="left" w:pos="900"/>
        </w:tabs>
        <w:spacing w:before="156" w:beforeLines="50" w:after="156" w:afterLines="50" w:line="360" w:lineRule="auto"/>
        <w:ind w:left="1620" w:hanging="769"/>
        <w:rPr>
          <w:rFonts w:ascii="Times New Roman" w:hAnsi="Times New Roman" w:eastAsia="楷体_GB2312"/>
          <w:b/>
          <w:sz w:val="24"/>
        </w:rPr>
      </w:pPr>
      <w:bookmarkStart w:id="386" w:name="_Ref111347209"/>
      <w:bookmarkStart w:id="387" w:name="_Ref201564636"/>
      <w:r>
        <w:rPr>
          <w:rFonts w:ascii="Times New Roman" w:hAnsi="Times New Roman" w:eastAsia="楷体_GB2312"/>
          <w:b/>
          <w:sz w:val="24"/>
        </w:rPr>
        <w:t>违约事件发生前，收入分账户项下资金的</w:t>
      </w:r>
      <w:bookmarkEnd w:id="386"/>
      <w:r>
        <w:rPr>
          <w:rFonts w:ascii="Times New Roman" w:hAnsi="Times New Roman" w:eastAsia="楷体_GB2312"/>
          <w:b/>
          <w:sz w:val="24"/>
        </w:rPr>
        <w:t>分配</w:t>
      </w:r>
      <w:bookmarkEnd w:id="387"/>
    </w:p>
    <w:p w14:paraId="5FC0ACE8">
      <w:pPr>
        <w:spacing w:before="156" w:beforeLines="50" w:after="156" w:afterLines="50" w:line="360" w:lineRule="auto"/>
        <w:ind w:left="1620"/>
        <w:rPr>
          <w:rFonts w:ascii="Times New Roman" w:hAnsi="Times New Roman" w:eastAsia="楷体_GB2312"/>
          <w:sz w:val="24"/>
        </w:rPr>
      </w:pPr>
      <w:r>
        <w:rPr>
          <w:rFonts w:ascii="Times New Roman" w:hAnsi="Times New Roman" w:eastAsia="楷体_GB2312"/>
          <w:sz w:val="24"/>
        </w:rPr>
        <w:t>在“违约事件”发生前，“受托人”应于每一个“分配指令发送日”向“资金保管机构”发出“分配指令”，指令“资金保管机构”于每个“信托分配日”将前一个“收款期间”内收到的“收入回收款”以及于该“信托分配日”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_Ref201565108 \r \h  \* MERGEFORMAT </w:instrText>
      </w:r>
      <w:r>
        <w:rPr>
          <w:rFonts w:ascii="Times New Roman" w:hAnsi="Times New Roman" w:eastAsia="楷体_GB2312"/>
          <w:sz w:val="24"/>
        </w:rPr>
        <w:fldChar w:fldCharType="separate"/>
      </w:r>
      <w:r>
        <w:rPr>
          <w:rFonts w:ascii="Times New Roman" w:hAnsi="Times New Roman" w:eastAsia="楷体_GB2312"/>
          <w:sz w:val="24"/>
        </w:rPr>
        <w:t>11.5.2</w:t>
      </w:r>
      <w:r>
        <w:rPr>
          <w:rFonts w:ascii="Times New Roman" w:hAnsi="Times New Roman" w:eastAsia="楷体_GB2312"/>
          <w:sz w:val="24"/>
        </w:rPr>
        <w:fldChar w:fldCharType="end"/>
      </w:r>
      <w:r>
        <w:rPr>
          <w:rFonts w:ascii="Times New Roman" w:hAnsi="Times New Roman" w:eastAsia="楷体_GB2312"/>
          <w:sz w:val="24"/>
        </w:rPr>
        <w:t>款</w:t>
      </w:r>
      <w:r>
        <w:rPr>
          <w:rFonts w:hint="eastAsia" w:ascii="Times New Roman" w:hAnsi="Times New Roman" w:eastAsia="楷体_GB2312"/>
          <w:sz w:val="24"/>
        </w:rPr>
        <w:t>第</w:t>
      </w:r>
      <w:r>
        <w:rPr>
          <w:rFonts w:ascii="Times New Roman" w:hAnsi="Times New Roman" w:eastAsia="楷体_GB2312"/>
          <w:sz w:val="24"/>
        </w:rPr>
        <w:fldChar w:fldCharType="begin"/>
      </w:r>
      <w:r>
        <w:rPr>
          <w:rFonts w:ascii="Times New Roman" w:hAnsi="Times New Roman" w:eastAsia="楷体_GB2312"/>
          <w:sz w:val="24"/>
        </w:rPr>
        <w:instrText xml:space="preserve"> REF _Ref150542634 \r \h  \* MERGEFORMAT </w:instrText>
      </w:r>
      <w:r>
        <w:rPr>
          <w:rFonts w:ascii="Times New Roman" w:hAnsi="Times New Roman" w:eastAsia="楷体_GB2312"/>
          <w:sz w:val="24"/>
        </w:rPr>
        <w:fldChar w:fldCharType="separate"/>
      </w:r>
      <w:r>
        <w:rPr>
          <w:rFonts w:ascii="Times New Roman" w:hAnsi="Times New Roman" w:eastAsia="楷体_GB2312"/>
          <w:sz w:val="24"/>
        </w:rPr>
        <w:t>(</w:t>
      </w:r>
      <w:r>
        <w:rPr>
          <w:rFonts w:hint="eastAsia" w:ascii="Times New Roman" w:hAnsi="Times New Roman" w:eastAsia="楷体_GB2312"/>
          <w:sz w:val="24"/>
        </w:rPr>
        <w:t>1</w:t>
      </w:r>
      <w:r>
        <w:rPr>
          <w:rFonts w:ascii="Times New Roman" w:hAnsi="Times New Roman" w:eastAsia="楷体_GB2312"/>
          <w:sz w:val="24"/>
        </w:rPr>
        <w:t>)</w:t>
      </w:r>
      <w:r>
        <w:rPr>
          <w:rFonts w:ascii="Times New Roman" w:hAnsi="Times New Roman" w:eastAsia="楷体_GB2312"/>
          <w:sz w:val="24"/>
        </w:rPr>
        <w:fldChar w:fldCharType="end"/>
      </w:r>
      <w:r>
        <w:rPr>
          <w:rFonts w:ascii="Times New Roman" w:hAnsi="Times New Roman" w:eastAsia="楷体_GB2312"/>
          <w:sz w:val="24"/>
        </w:rPr>
        <w:t>项、第</w:t>
      </w:r>
      <w:r>
        <w:rPr>
          <w:rFonts w:ascii="Times New Roman" w:hAnsi="Times New Roman" w:eastAsia="楷体_GB2312"/>
          <w:sz w:val="24"/>
        </w:rPr>
        <w:fldChar w:fldCharType="begin"/>
      </w:r>
      <w:r>
        <w:rPr>
          <w:rFonts w:ascii="Times New Roman" w:hAnsi="Times New Roman" w:eastAsia="楷体_GB2312"/>
          <w:sz w:val="24"/>
        </w:rPr>
        <w:instrText xml:space="preserve"> REF _Ref332290272 \r \h </w:instrText>
      </w:r>
      <w:r>
        <w:rPr>
          <w:rFonts w:ascii="Times New Roman" w:hAnsi="Times New Roman" w:eastAsia="楷体_GB2312"/>
          <w:sz w:val="24"/>
        </w:rPr>
        <w:fldChar w:fldCharType="separate"/>
      </w:r>
      <w:r>
        <w:rPr>
          <w:rFonts w:ascii="Times New Roman" w:hAnsi="Times New Roman" w:eastAsia="楷体_GB2312"/>
          <w:sz w:val="24"/>
        </w:rPr>
        <w:t>11.8</w:t>
      </w:r>
      <w:r>
        <w:rPr>
          <w:rFonts w:ascii="Times New Roman" w:hAnsi="Times New Roman" w:eastAsia="楷体_GB2312"/>
          <w:sz w:val="24"/>
        </w:rPr>
        <w:fldChar w:fldCharType="end"/>
      </w:r>
      <w:r>
        <w:rPr>
          <w:rFonts w:ascii="Times New Roman" w:hAnsi="Times New Roman" w:eastAsia="楷体_GB2312"/>
          <w:sz w:val="24"/>
        </w:rPr>
        <w:t>款和第</w:t>
      </w:r>
      <w:r>
        <w:rPr>
          <w:rFonts w:ascii="Times New Roman" w:hAnsi="Times New Roman" w:eastAsia="楷体_GB2312"/>
          <w:sz w:val="24"/>
        </w:rPr>
        <w:fldChar w:fldCharType="begin"/>
      </w:r>
      <w:r>
        <w:rPr>
          <w:rFonts w:ascii="Times New Roman" w:hAnsi="Times New Roman" w:eastAsia="楷体_GB2312"/>
          <w:sz w:val="24"/>
        </w:rPr>
        <w:instrText xml:space="preserve"> REF _Ref221480975 \r \h </w:instrText>
      </w:r>
      <w:r>
        <w:rPr>
          <w:rFonts w:ascii="Times New Roman" w:hAnsi="Times New Roman" w:eastAsia="楷体_GB2312"/>
          <w:sz w:val="24"/>
        </w:rPr>
        <w:fldChar w:fldCharType="separate"/>
      </w:r>
      <w:r>
        <w:rPr>
          <w:rFonts w:ascii="Times New Roman" w:hAnsi="Times New Roman" w:eastAsia="楷体_GB2312"/>
          <w:sz w:val="24"/>
        </w:rPr>
        <w:t>11.9</w:t>
      </w:r>
      <w:r>
        <w:rPr>
          <w:rFonts w:ascii="Times New Roman" w:hAnsi="Times New Roman" w:eastAsia="楷体_GB2312"/>
          <w:sz w:val="24"/>
        </w:rPr>
        <w:fldChar w:fldCharType="end"/>
      </w:r>
      <w:r>
        <w:rPr>
          <w:rFonts w:ascii="Times New Roman" w:hAnsi="Times New Roman" w:eastAsia="楷体_GB2312"/>
          <w:sz w:val="24"/>
        </w:rPr>
        <w:t>款的约定从相应账户转入“收入分账户”的资金的总金额按以下顺序进行分配（如不足以支付，同顺序的各项应受偿金额按比例支付，且除</w:t>
      </w:r>
      <w:r>
        <w:rPr>
          <w:rFonts w:hint="eastAsia" w:ascii="Times New Roman" w:hAnsi="Times New Roman" w:eastAsia="楷体_GB2312"/>
          <w:sz w:val="24"/>
        </w:rPr>
        <w:t>第</w:t>
      </w:r>
      <w:r>
        <w:rPr>
          <w:rFonts w:ascii="Times New Roman" w:hAnsi="Times New Roman" w:eastAsia="楷体_GB2312"/>
          <w:sz w:val="24"/>
        </w:rPr>
        <w:fldChar w:fldCharType="begin"/>
      </w:r>
      <w:r>
        <w:rPr>
          <w:rFonts w:ascii="Times New Roman" w:hAnsi="Times New Roman" w:eastAsia="楷体_GB2312"/>
          <w:sz w:val="24"/>
        </w:rPr>
        <w:instrText xml:space="preserve"> REF _Ref387847683 \r \h  \* MERGEFORMAT </w:instrText>
      </w:r>
      <w:r>
        <w:rPr>
          <w:rFonts w:ascii="Times New Roman" w:hAnsi="Times New Roman" w:eastAsia="楷体_GB2312"/>
          <w:sz w:val="24"/>
        </w:rPr>
        <w:fldChar w:fldCharType="separate"/>
      </w:r>
      <w:r>
        <w:rPr>
          <w:rFonts w:ascii="Times New Roman" w:hAnsi="Times New Roman" w:eastAsia="楷体_GB2312"/>
          <w:sz w:val="24"/>
        </w:rPr>
        <w:t>(</w:t>
      </w:r>
      <w:r>
        <w:rPr>
          <w:rFonts w:hint="eastAsia" w:ascii="Times New Roman" w:hAnsi="Times New Roman" w:eastAsia="楷体_GB2312"/>
          <w:sz w:val="24"/>
        </w:rPr>
        <w:t>12</w:t>
      </w:r>
      <w:r>
        <w:rPr>
          <w:rFonts w:ascii="Times New Roman" w:hAnsi="Times New Roman" w:eastAsia="楷体_GB2312"/>
          <w:sz w:val="24"/>
        </w:rPr>
        <w:t>)</w:t>
      </w:r>
      <w:r>
        <w:rPr>
          <w:rFonts w:ascii="Times New Roman" w:hAnsi="Times New Roman" w:eastAsia="楷体_GB2312"/>
          <w:sz w:val="24"/>
        </w:rPr>
        <w:fldChar w:fldCharType="end"/>
      </w:r>
      <w:r>
        <w:rPr>
          <w:rFonts w:ascii="Times New Roman" w:hAnsi="Times New Roman" w:eastAsia="楷体_GB2312"/>
          <w:sz w:val="24"/>
        </w:rPr>
        <w:t>项以外的所差金额应按以下顺序在下一期支付）：</w:t>
      </w:r>
    </w:p>
    <w:p w14:paraId="7DB62E59">
      <w:pPr>
        <w:numPr>
          <w:ilvl w:val="0"/>
          <w:numId w:val="24"/>
        </w:numPr>
        <w:spacing w:before="156" w:beforeLines="50" w:after="156" w:afterLines="50" w:line="360" w:lineRule="auto"/>
        <w:ind w:left="2127"/>
        <w:rPr>
          <w:rFonts w:ascii="Times New Roman" w:hAnsi="Times New Roman" w:eastAsia="楷体_GB2312"/>
          <w:sz w:val="24"/>
        </w:rPr>
      </w:pPr>
      <w:bookmarkStart w:id="388" w:name="_Ref112316473"/>
      <w:bookmarkStart w:id="389" w:name="_Ref111348174"/>
      <w:r>
        <w:rPr>
          <w:rFonts w:ascii="Times New Roman" w:hAnsi="Times New Roman" w:eastAsia="楷体_GB2312"/>
          <w:sz w:val="24"/>
        </w:rPr>
        <w:t>将依据相关“中国”“法律”应由“受托人”缴纳的与“信托”相关的“税收”记入“信托分配（税收）账户”；</w:t>
      </w:r>
      <w:bookmarkEnd w:id="388"/>
    </w:p>
    <w:p w14:paraId="511D0604">
      <w:pPr>
        <w:numPr>
          <w:ilvl w:val="0"/>
          <w:numId w:val="24"/>
        </w:numPr>
        <w:spacing w:before="156" w:beforeLines="50" w:after="156" w:afterLines="50" w:line="360" w:lineRule="auto"/>
        <w:ind w:left="2127"/>
        <w:rPr>
          <w:rFonts w:ascii="Times New Roman" w:hAnsi="Times New Roman" w:eastAsia="楷体_GB2312"/>
          <w:sz w:val="24"/>
        </w:rPr>
      </w:pPr>
      <w:bookmarkStart w:id="390" w:name="_Ref150547909"/>
      <w:r>
        <w:rPr>
          <w:rFonts w:ascii="Times New Roman" w:hAnsi="Times New Roman" w:eastAsia="楷体_GB2312"/>
          <w:sz w:val="24"/>
        </w:rPr>
        <w:t>将“受托机构”垫付的发行登记服务费（如有）计入“信托分配（费用和开支）账户”；</w:t>
      </w:r>
    </w:p>
    <w:p w14:paraId="617CA0B1">
      <w:pPr>
        <w:numPr>
          <w:ilvl w:val="0"/>
          <w:numId w:val="24"/>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同顺序将应支付的“受托人”垫付的为“资产支持证券”发行之目的发生的资金汇划费、信托公告费、信息披露费等费用（如有）、“承销报酬”、委托“评级机构”对“优先级资产支持证券”进行初始评级（不含跟踪评级）所发生的费用、委托“法律顾问”和“会计顾问</w:t>
      </w:r>
      <w:r>
        <w:rPr>
          <w:rFonts w:hint="eastAsia" w:ascii="Times New Roman" w:hAnsi="Times New Roman" w:eastAsia="楷体_GB2312"/>
          <w:sz w:val="24"/>
        </w:rPr>
        <w:t>/税务</w:t>
      </w:r>
      <w:r>
        <w:rPr>
          <w:rFonts w:ascii="Times New Roman" w:hAnsi="Times New Roman" w:eastAsia="楷体_GB2312"/>
          <w:sz w:val="24"/>
        </w:rPr>
        <w:t>顾问”进行尽职调查或执行商定程序并出具专业意见所应付的报酬记入“信托分配（费用和开支）账户”；</w:t>
      </w:r>
    </w:p>
    <w:p w14:paraId="052D8CF5">
      <w:pPr>
        <w:numPr>
          <w:ilvl w:val="0"/>
          <w:numId w:val="24"/>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同顺序将以下当期需支付的报酬和费用记入“信托分配（费用和开支）账户”：(a)“支付代理机构”/“登记托管机构”的报酬、(b)“受托人”的信托报酬、(c)“资金保管机构”的报酬、(d)“评级机构”提供跟踪评级服务的报酬（如有）、(e)“审计师”的报酬、(f)“后备贷款服务机构”（如有）的报酬、(g)</w:t>
      </w:r>
      <w:bookmarkEnd w:id="390"/>
      <w:r>
        <w:rPr>
          <w:rFonts w:ascii="Times New Roman" w:hAnsi="Times New Roman" w:eastAsia="楷体_GB2312"/>
          <w:color w:val="000000"/>
          <w:sz w:val="24"/>
        </w:rPr>
        <w:t>“</w:t>
      </w:r>
      <w:r>
        <w:rPr>
          <w:rFonts w:hint="eastAsia" w:ascii="Times New Roman" w:hAnsi="Times New Roman" w:eastAsia="楷体_GB2312"/>
          <w:color w:val="000000"/>
          <w:sz w:val="24"/>
        </w:rPr>
        <w:t>受托人</w:t>
      </w:r>
      <w:r>
        <w:rPr>
          <w:rFonts w:ascii="Times New Roman" w:hAnsi="Times New Roman" w:eastAsia="楷体_GB2312"/>
          <w:color w:val="000000"/>
          <w:sz w:val="24"/>
        </w:rPr>
        <w:t>”</w:t>
      </w:r>
      <w:r>
        <w:rPr>
          <w:rFonts w:hint="eastAsia" w:ascii="Times New Roman" w:hAnsi="Times New Roman" w:eastAsia="楷体_GB2312"/>
          <w:color w:val="000000"/>
          <w:sz w:val="24"/>
        </w:rPr>
        <w:t>因</w:t>
      </w:r>
      <w:r>
        <w:rPr>
          <w:rFonts w:ascii="Times New Roman" w:hAnsi="Times New Roman" w:eastAsia="楷体_GB2312"/>
          <w:color w:val="000000"/>
          <w:sz w:val="24"/>
        </w:rPr>
        <w:t>“</w:t>
      </w:r>
      <w:r>
        <w:rPr>
          <w:rFonts w:hint="eastAsia" w:ascii="Times New Roman" w:hAnsi="Times New Roman" w:eastAsia="楷体_GB2312"/>
          <w:color w:val="000000"/>
          <w:sz w:val="24"/>
        </w:rPr>
        <w:t>清仓回购</w:t>
      </w:r>
      <w:r>
        <w:rPr>
          <w:rFonts w:ascii="Times New Roman" w:hAnsi="Times New Roman" w:eastAsia="楷体_GB2312"/>
          <w:color w:val="000000"/>
          <w:sz w:val="24"/>
        </w:rPr>
        <w:t>”</w:t>
      </w:r>
      <w:r>
        <w:rPr>
          <w:rFonts w:hint="eastAsia" w:ascii="Times New Roman" w:hAnsi="Times New Roman" w:eastAsia="楷体_GB2312"/>
          <w:color w:val="000000"/>
          <w:sz w:val="24"/>
        </w:rPr>
        <w:t>而聘请第三方专业机构对剩余</w:t>
      </w:r>
      <w:r>
        <w:rPr>
          <w:rFonts w:ascii="Times New Roman" w:hAnsi="Times New Roman" w:eastAsia="楷体_GB2312"/>
          <w:color w:val="000000"/>
          <w:sz w:val="24"/>
        </w:rPr>
        <w:t>“</w:t>
      </w:r>
      <w:r>
        <w:rPr>
          <w:rFonts w:hint="eastAsia" w:ascii="Times New Roman" w:hAnsi="Times New Roman" w:eastAsia="楷体_GB2312"/>
          <w:color w:val="000000"/>
          <w:sz w:val="24"/>
        </w:rPr>
        <w:t>资产池</w:t>
      </w:r>
      <w:r>
        <w:rPr>
          <w:rFonts w:ascii="Times New Roman" w:hAnsi="Times New Roman" w:eastAsia="楷体_GB2312"/>
          <w:color w:val="000000"/>
          <w:sz w:val="24"/>
        </w:rPr>
        <w:t>”</w:t>
      </w:r>
      <w:r>
        <w:rPr>
          <w:rFonts w:hint="eastAsia" w:ascii="Times New Roman" w:hAnsi="Times New Roman" w:eastAsia="楷体_GB2312"/>
          <w:color w:val="000000"/>
          <w:sz w:val="24"/>
        </w:rPr>
        <w:t>进行评估所发生的费用、</w:t>
      </w:r>
      <w:r>
        <w:rPr>
          <w:rFonts w:ascii="Times New Roman" w:hAnsi="Times New Roman" w:eastAsia="楷体_GB2312"/>
          <w:sz w:val="24"/>
        </w:rPr>
        <w:t>(h)上述相关主体和“贷款服务机构”各自可报销的不超过“优先支出上限”的“费用支出”、(</w:t>
      </w:r>
      <w:r>
        <w:rPr>
          <w:rFonts w:hint="eastAsia" w:ascii="Times New Roman" w:hAnsi="Times New Roman" w:eastAsia="楷体_GB2312"/>
          <w:sz w:val="24"/>
        </w:rPr>
        <w:t>i</w:t>
      </w:r>
      <w:r>
        <w:rPr>
          <w:rFonts w:ascii="Times New Roman" w:hAnsi="Times New Roman" w:eastAsia="楷体_GB2312"/>
          <w:sz w:val="24"/>
        </w:rPr>
        <w:t>)“受托人”按照本合同的约定以固有财产垫付的代为发送“权利完善通知”所发生的费用（如有）；</w:t>
      </w:r>
    </w:p>
    <w:p w14:paraId="3F8540A3">
      <w:pPr>
        <w:numPr>
          <w:ilvl w:val="0"/>
          <w:numId w:val="24"/>
        </w:numPr>
        <w:spacing w:before="156" w:beforeLines="50" w:after="156" w:afterLines="50" w:line="360" w:lineRule="auto"/>
        <w:ind w:left="2127"/>
        <w:rPr>
          <w:rFonts w:ascii="Times New Roman" w:hAnsi="Times New Roman" w:eastAsia="楷体_GB2312"/>
          <w:sz w:val="24"/>
        </w:rPr>
      </w:pPr>
      <w:bookmarkStart w:id="391" w:name="_Ref350284440"/>
      <w:bookmarkStart w:id="392" w:name="_Ref150543248"/>
      <w:r>
        <w:rPr>
          <w:rFonts w:ascii="Times New Roman" w:hAnsi="Times New Roman" w:eastAsia="楷体_GB2312"/>
          <w:sz w:val="24"/>
        </w:rPr>
        <w:t>将当期应支付的“贷款服务机构”固定报酬记入“信托分配（费用和开支）账户”</w:t>
      </w:r>
      <w:bookmarkEnd w:id="391"/>
      <w:bookmarkEnd w:id="392"/>
      <w:r>
        <w:rPr>
          <w:rFonts w:ascii="Times New Roman" w:hAnsi="Times New Roman" w:eastAsia="楷体_GB2312"/>
          <w:sz w:val="24"/>
        </w:rPr>
        <w:t>；</w:t>
      </w:r>
    </w:p>
    <w:p w14:paraId="760D7871">
      <w:pPr>
        <w:numPr>
          <w:ilvl w:val="0"/>
          <w:numId w:val="24"/>
        </w:numPr>
        <w:spacing w:before="156" w:beforeLines="50" w:after="156" w:afterLines="50" w:line="360" w:lineRule="auto"/>
        <w:ind w:left="2127"/>
        <w:rPr>
          <w:rFonts w:ascii="Times New Roman" w:hAnsi="Times New Roman" w:eastAsia="楷体_GB2312"/>
          <w:sz w:val="24"/>
        </w:rPr>
      </w:pPr>
      <w:bookmarkStart w:id="393" w:name="_Ref150892631"/>
      <w:r>
        <w:rPr>
          <w:rFonts w:ascii="Times New Roman" w:hAnsi="Times New Roman" w:eastAsia="楷体_GB2312"/>
          <w:sz w:val="24"/>
        </w:rPr>
        <w:t>同顺序按应受偿利息金额的比例将下一个“支付日”应支付的“优先A级资产支持证券”的利息记入“信托分配（证券）账户”；</w:t>
      </w:r>
      <w:bookmarkEnd w:id="393"/>
    </w:p>
    <w:p w14:paraId="7DD26EF9">
      <w:pPr>
        <w:numPr>
          <w:ilvl w:val="0"/>
          <w:numId w:val="24"/>
        </w:numPr>
        <w:spacing w:before="156" w:beforeLines="50" w:after="156" w:afterLines="50" w:line="360" w:lineRule="auto"/>
        <w:ind w:left="2127"/>
        <w:rPr>
          <w:rFonts w:ascii="Times New Roman" w:hAnsi="Times New Roman" w:eastAsia="楷体_GB2312"/>
          <w:sz w:val="24"/>
        </w:rPr>
      </w:pPr>
      <w:bookmarkStart w:id="394" w:name="_Ref214198414"/>
      <w:bookmarkStart w:id="395" w:name="_Ref177199339"/>
      <w:r>
        <w:rPr>
          <w:rFonts w:ascii="Times New Roman" w:hAnsi="Times New Roman" w:eastAsia="楷体_GB2312"/>
          <w:sz w:val="24"/>
        </w:rPr>
        <w:t>同顺序按应受偿利息金额的比例将下一个“支付日”应支付的“优先B级资产支持证券”的利息记入“信托分配（证券）账户”；</w:t>
      </w:r>
      <w:bookmarkEnd w:id="394"/>
    </w:p>
    <w:p w14:paraId="0CF84444">
      <w:pPr>
        <w:numPr>
          <w:ilvl w:val="0"/>
          <w:numId w:val="24"/>
        </w:numPr>
        <w:spacing w:before="156" w:beforeLines="50" w:after="156" w:afterLines="50" w:line="360" w:lineRule="auto"/>
        <w:ind w:left="2127"/>
        <w:rPr>
          <w:rFonts w:ascii="Times New Roman" w:hAnsi="Times New Roman" w:eastAsia="楷体_GB2312"/>
          <w:sz w:val="24"/>
        </w:rPr>
      </w:pPr>
      <w:bookmarkStart w:id="396" w:name="_Ref395798824"/>
      <w:r>
        <w:rPr>
          <w:rFonts w:ascii="Times New Roman" w:hAnsi="Times New Roman" w:eastAsia="楷体_GB2312"/>
          <w:sz w:val="24"/>
        </w:rPr>
        <w:t>同顺序将支付的“受托人”、“贷款服务机构”、“资金保管机构”、“评级机构”（如有）、“审计师”（如有）以及“后备贷款服务机构”（如有）的超过“优先支出上限”的各自可报销的实际“费用支出”记入“信托分配（费用和开支）账户”；</w:t>
      </w:r>
      <w:bookmarkEnd w:id="396"/>
    </w:p>
    <w:p w14:paraId="2B5F9748">
      <w:pPr>
        <w:numPr>
          <w:ilvl w:val="0"/>
          <w:numId w:val="24"/>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同顺序、按各笔款项应受偿金额的比例将相应款项转入“信托（流动性）储备账户”，使该账户的余额不少于“必备（流动性）储备金额”；</w:t>
      </w:r>
    </w:p>
    <w:bookmarkEnd w:id="395"/>
    <w:p w14:paraId="0D3B6FF0">
      <w:pPr>
        <w:numPr>
          <w:ilvl w:val="0"/>
          <w:numId w:val="24"/>
        </w:numPr>
        <w:spacing w:before="156" w:beforeLines="50" w:after="156" w:afterLines="50" w:line="360" w:lineRule="auto"/>
        <w:ind w:left="2127"/>
        <w:rPr>
          <w:rFonts w:ascii="Times New Roman" w:hAnsi="Times New Roman" w:eastAsia="楷体_GB2312"/>
          <w:sz w:val="24"/>
        </w:rPr>
      </w:pPr>
      <w:bookmarkStart w:id="397" w:name="_Ref169087790"/>
      <w:bookmarkStart w:id="398" w:name="_Ref347320049"/>
      <w:r>
        <w:rPr>
          <w:rFonts w:ascii="Times New Roman" w:hAnsi="Times New Roman" w:eastAsia="楷体_GB2312"/>
          <w:sz w:val="24"/>
        </w:rPr>
        <w:t>如果发生“加速清偿事件”，将全部余额记入“本金分账户”；</w:t>
      </w:r>
      <w:bookmarkEnd w:id="397"/>
      <w:bookmarkStart w:id="399" w:name="_Ref150892643"/>
      <w:r>
        <w:rPr>
          <w:rFonts w:ascii="Times New Roman" w:hAnsi="Times New Roman" w:eastAsia="楷体_GB2312"/>
          <w:sz w:val="24"/>
        </w:rPr>
        <w:t>如果未发生“加速清偿事件”，则剩余资金继续按以下顺序分配；</w:t>
      </w:r>
      <w:bookmarkEnd w:id="398"/>
    </w:p>
    <w:bookmarkEnd w:id="399"/>
    <w:p w14:paraId="3C42084E">
      <w:pPr>
        <w:numPr>
          <w:ilvl w:val="0"/>
          <w:numId w:val="24"/>
        </w:numPr>
        <w:spacing w:before="156" w:beforeLines="50" w:after="156" w:afterLines="50" w:line="360" w:lineRule="auto"/>
        <w:ind w:left="2127"/>
        <w:rPr>
          <w:rFonts w:ascii="Times New Roman" w:hAnsi="Times New Roman" w:eastAsia="楷体_GB2312"/>
          <w:sz w:val="24"/>
        </w:rPr>
      </w:pPr>
      <w:bookmarkStart w:id="400" w:name="_Ref156556896"/>
      <w:r>
        <w:rPr>
          <w:rFonts w:ascii="Times New Roman" w:hAnsi="Times New Roman" w:eastAsia="楷体_GB2312"/>
          <w:sz w:val="24"/>
        </w:rPr>
        <w:t>转入“本金分账户”如下金额，相当于以下a+b-c：a指在以往及当期各“收款期间”内成为“违约贷款”的“贷款”在成为“违约贷款”时的“未偿本金余额”减去“违约贷款”处置后净回收额中可归入本金的部分，b指在以往的全部“信托分配日”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_Ref201565108 \r \h  \* MERGEFORMAT </w:instrText>
      </w:r>
      <w:r>
        <w:rPr>
          <w:rFonts w:ascii="Times New Roman" w:hAnsi="Times New Roman" w:eastAsia="楷体_GB2312"/>
          <w:sz w:val="24"/>
        </w:rPr>
        <w:fldChar w:fldCharType="separate"/>
      </w:r>
      <w:r>
        <w:rPr>
          <w:rFonts w:ascii="Times New Roman" w:hAnsi="Times New Roman" w:eastAsia="楷体_GB2312"/>
          <w:sz w:val="24"/>
        </w:rPr>
        <w:t>11.5.2</w:t>
      </w:r>
      <w:r>
        <w:rPr>
          <w:rFonts w:ascii="Times New Roman" w:hAnsi="Times New Roman" w:eastAsia="楷体_GB2312"/>
          <w:sz w:val="24"/>
        </w:rPr>
        <w:fldChar w:fldCharType="end"/>
      </w:r>
      <w:r>
        <w:rPr>
          <w:rFonts w:ascii="Times New Roman" w:hAnsi="Times New Roman" w:eastAsia="楷体_GB2312"/>
          <w:sz w:val="24"/>
        </w:rPr>
        <w:t>款</w:t>
      </w:r>
      <w:r>
        <w:rPr>
          <w:rFonts w:hint="eastAsia" w:ascii="Times New Roman" w:hAnsi="Times New Roman" w:eastAsia="楷体_GB2312"/>
          <w:sz w:val="24"/>
        </w:rPr>
        <w:t>第</w:t>
      </w:r>
      <w:r>
        <w:rPr>
          <w:rFonts w:ascii="Times New Roman" w:hAnsi="Times New Roman" w:eastAsia="楷体_GB2312"/>
          <w:sz w:val="24"/>
        </w:rPr>
        <w:fldChar w:fldCharType="begin"/>
      </w:r>
      <w:r>
        <w:rPr>
          <w:rFonts w:ascii="Times New Roman" w:hAnsi="Times New Roman" w:eastAsia="楷体_GB2312"/>
          <w:sz w:val="24"/>
        </w:rPr>
        <w:instrText xml:space="preserve"> REF _Ref150542634 \r \h  \* MERGEFORMAT </w:instrText>
      </w:r>
      <w:r>
        <w:rPr>
          <w:rFonts w:ascii="Times New Roman" w:hAnsi="Times New Roman" w:eastAsia="楷体_GB2312"/>
          <w:sz w:val="24"/>
        </w:rPr>
        <w:fldChar w:fldCharType="separate"/>
      </w:r>
      <w:r>
        <w:rPr>
          <w:rFonts w:ascii="Times New Roman" w:hAnsi="Times New Roman" w:eastAsia="楷体_GB2312"/>
          <w:sz w:val="24"/>
        </w:rPr>
        <w:t>(</w:t>
      </w:r>
      <w:r>
        <w:rPr>
          <w:rFonts w:hint="eastAsia" w:ascii="Times New Roman" w:hAnsi="Times New Roman" w:eastAsia="楷体_GB2312"/>
          <w:sz w:val="24"/>
        </w:rPr>
        <w:t>1</w:t>
      </w:r>
      <w:r>
        <w:rPr>
          <w:rFonts w:ascii="Times New Roman" w:hAnsi="Times New Roman" w:eastAsia="楷体_GB2312"/>
          <w:sz w:val="24"/>
        </w:rPr>
        <w:t>)</w:t>
      </w:r>
      <w:r>
        <w:rPr>
          <w:rFonts w:ascii="Times New Roman" w:hAnsi="Times New Roman" w:eastAsia="楷体_GB2312"/>
          <w:sz w:val="24"/>
        </w:rPr>
        <w:fldChar w:fldCharType="end"/>
      </w:r>
      <w:r>
        <w:rPr>
          <w:rFonts w:ascii="Times New Roman" w:hAnsi="Times New Roman" w:eastAsia="楷体_GB2312"/>
          <w:sz w:val="24"/>
        </w:rPr>
        <w:t>项已从“本金分账户”转至“收入分账户”的金额，c指在以往的全部“信托分配日”按照本项约定由“收入分账户”转入“本金分账户”的金额；</w:t>
      </w:r>
      <w:bookmarkEnd w:id="400"/>
    </w:p>
    <w:p w14:paraId="4C456211">
      <w:pPr>
        <w:numPr>
          <w:ilvl w:val="0"/>
          <w:numId w:val="24"/>
        </w:numPr>
        <w:spacing w:before="156" w:beforeLines="50" w:after="156" w:afterLines="50" w:line="360" w:lineRule="auto"/>
        <w:ind w:left="2127"/>
        <w:rPr>
          <w:rFonts w:ascii="Times New Roman" w:hAnsi="Times New Roman" w:eastAsia="楷体_GB2312"/>
          <w:sz w:val="24"/>
        </w:rPr>
      </w:pPr>
      <w:bookmarkStart w:id="401" w:name="_Ref387847683"/>
      <w:r>
        <w:rPr>
          <w:rFonts w:ascii="Times New Roman" w:hAnsi="Times New Roman" w:eastAsia="楷体_GB2312"/>
          <w:sz w:val="24"/>
        </w:rPr>
        <w:t>在“优先级资产支持证券”的本金完全清偿完毕前，按不超过【】%/年的收益率计算当个“计息期间”“次级资产支持证券”的期间收益，将该等收益记入“信托分配（证券）账户”；</w:t>
      </w:r>
      <w:bookmarkEnd w:id="401"/>
    </w:p>
    <w:p w14:paraId="1CCFF5D4">
      <w:pPr>
        <w:numPr>
          <w:ilvl w:val="0"/>
          <w:numId w:val="24"/>
        </w:numPr>
        <w:spacing w:before="156" w:beforeLines="50" w:after="156" w:afterLines="50" w:line="360" w:lineRule="auto"/>
        <w:ind w:left="2127"/>
        <w:rPr>
          <w:rFonts w:ascii="Times New Roman" w:hAnsi="Times New Roman" w:eastAsia="楷体_GB2312"/>
          <w:sz w:val="24"/>
        </w:rPr>
      </w:pPr>
      <w:bookmarkStart w:id="402" w:name="_Ref150544060"/>
      <w:r>
        <w:rPr>
          <w:rFonts w:ascii="Times New Roman" w:hAnsi="Times New Roman" w:eastAsia="楷体_GB2312"/>
          <w:sz w:val="24"/>
        </w:rPr>
        <w:t>“收入分账户”项下剩余资金记入“本金分账户”。</w:t>
      </w:r>
      <w:bookmarkEnd w:id="402"/>
    </w:p>
    <w:bookmarkEnd w:id="389"/>
    <w:p w14:paraId="71167CB6">
      <w:pPr>
        <w:numPr>
          <w:ilvl w:val="2"/>
          <w:numId w:val="6"/>
        </w:numPr>
        <w:tabs>
          <w:tab w:val="left" w:pos="900"/>
        </w:tabs>
        <w:spacing w:before="156" w:beforeLines="50" w:after="156" w:afterLines="50" w:line="360" w:lineRule="auto"/>
        <w:ind w:left="1620" w:hanging="769"/>
        <w:rPr>
          <w:rFonts w:ascii="Times New Roman" w:hAnsi="Times New Roman" w:eastAsia="楷体_GB2312"/>
          <w:b/>
          <w:sz w:val="24"/>
        </w:rPr>
      </w:pPr>
      <w:bookmarkStart w:id="403" w:name="_Ref201565108"/>
      <w:r>
        <w:rPr>
          <w:rFonts w:ascii="Times New Roman" w:hAnsi="Times New Roman" w:eastAsia="楷体_GB2312"/>
          <w:b/>
          <w:sz w:val="24"/>
        </w:rPr>
        <w:t>违约事件发生前，</w:t>
      </w:r>
      <w:bookmarkStart w:id="404" w:name="_Ref111346654"/>
      <w:r>
        <w:rPr>
          <w:rFonts w:ascii="Times New Roman" w:hAnsi="Times New Roman" w:eastAsia="楷体_GB2312"/>
          <w:b/>
          <w:sz w:val="24"/>
        </w:rPr>
        <w:t>本金分账户项下资金的</w:t>
      </w:r>
      <w:bookmarkEnd w:id="404"/>
      <w:r>
        <w:rPr>
          <w:rFonts w:ascii="Times New Roman" w:hAnsi="Times New Roman" w:eastAsia="楷体_GB2312"/>
          <w:b/>
          <w:sz w:val="24"/>
        </w:rPr>
        <w:t>分配</w:t>
      </w:r>
      <w:bookmarkEnd w:id="403"/>
    </w:p>
    <w:p w14:paraId="06BB42E3">
      <w:pPr>
        <w:spacing w:before="156" w:beforeLines="50" w:after="156" w:afterLines="50" w:line="360" w:lineRule="auto"/>
        <w:ind w:left="1620"/>
        <w:rPr>
          <w:rFonts w:ascii="Times New Roman" w:hAnsi="Times New Roman" w:eastAsia="楷体_GB2312"/>
          <w:sz w:val="24"/>
        </w:rPr>
      </w:pPr>
      <w:r>
        <w:rPr>
          <w:rFonts w:ascii="Times New Roman" w:hAnsi="Times New Roman" w:eastAsia="楷体_GB2312"/>
          <w:sz w:val="24"/>
        </w:rPr>
        <w:t>在“违约事件”发生前，“受托人”应于每一个“分配指令发送日”向“资金保管机构”发出“分配指令”，指令“资金保管机构”于每个“信托分配日”将前一个“收款期间”收到的“本金回收款”以及于该“信托分配日”分别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_Ref201564636 \r \h  \* MERGEFORMAT </w:instrText>
      </w:r>
      <w:r>
        <w:rPr>
          <w:rFonts w:ascii="Times New Roman" w:hAnsi="Times New Roman" w:eastAsia="楷体_GB2312"/>
          <w:sz w:val="24"/>
        </w:rPr>
        <w:fldChar w:fldCharType="separate"/>
      </w:r>
      <w:r>
        <w:rPr>
          <w:rFonts w:ascii="Times New Roman" w:hAnsi="Times New Roman" w:eastAsia="楷体_GB2312"/>
          <w:sz w:val="24"/>
        </w:rPr>
        <w:t>11.5.1</w:t>
      </w:r>
      <w:r>
        <w:rPr>
          <w:rFonts w:ascii="Times New Roman" w:hAnsi="Times New Roman" w:eastAsia="楷体_GB2312"/>
          <w:sz w:val="24"/>
        </w:rPr>
        <w:fldChar w:fldCharType="end"/>
      </w:r>
      <w:r>
        <w:rPr>
          <w:rFonts w:ascii="Times New Roman" w:hAnsi="Times New Roman" w:eastAsia="楷体_GB2312"/>
          <w:sz w:val="24"/>
        </w:rPr>
        <w:t>款</w:t>
      </w:r>
      <w:r>
        <w:rPr>
          <w:rFonts w:hint="eastAsia" w:ascii="Times New Roman" w:hAnsi="Times New Roman" w:eastAsia="楷体_GB2312"/>
          <w:sz w:val="24"/>
        </w:rPr>
        <w:t>第</w:t>
      </w:r>
      <w:r>
        <w:rPr>
          <w:rFonts w:ascii="Times New Roman" w:hAnsi="Times New Roman" w:eastAsia="楷体_GB2312"/>
          <w:sz w:val="24"/>
        </w:rPr>
        <w:fldChar w:fldCharType="begin"/>
      </w:r>
      <w:r>
        <w:rPr>
          <w:rFonts w:ascii="Times New Roman" w:hAnsi="Times New Roman" w:eastAsia="楷体_GB2312"/>
          <w:sz w:val="24"/>
        </w:rPr>
        <w:instrText xml:space="preserve"> REF _Ref347320049 \r \h  \* MERGEFORMAT </w:instrText>
      </w:r>
      <w:r>
        <w:rPr>
          <w:rFonts w:ascii="Times New Roman" w:hAnsi="Times New Roman" w:eastAsia="楷体_GB2312"/>
          <w:sz w:val="24"/>
        </w:rPr>
        <w:fldChar w:fldCharType="separate"/>
      </w:r>
      <w:r>
        <w:rPr>
          <w:rFonts w:ascii="Times New Roman" w:hAnsi="Times New Roman" w:eastAsia="楷体_GB2312"/>
          <w:sz w:val="24"/>
        </w:rPr>
        <w:t>(</w:t>
      </w:r>
      <w:r>
        <w:rPr>
          <w:rFonts w:hint="eastAsia" w:ascii="Times New Roman" w:hAnsi="Times New Roman" w:eastAsia="楷体_GB2312"/>
          <w:sz w:val="24"/>
        </w:rPr>
        <w:t>10</w:t>
      </w:r>
      <w:r>
        <w:rPr>
          <w:rFonts w:ascii="Times New Roman" w:hAnsi="Times New Roman" w:eastAsia="楷体_GB2312"/>
          <w:sz w:val="24"/>
        </w:rPr>
        <w:t>)</w:t>
      </w:r>
      <w:r>
        <w:rPr>
          <w:rFonts w:ascii="Times New Roman" w:hAnsi="Times New Roman" w:eastAsia="楷体_GB2312"/>
          <w:sz w:val="24"/>
        </w:rPr>
        <w:fldChar w:fldCharType="end"/>
      </w:r>
      <w:r>
        <w:rPr>
          <w:rFonts w:ascii="Times New Roman" w:hAnsi="Times New Roman" w:eastAsia="楷体_GB2312"/>
          <w:sz w:val="24"/>
        </w:rPr>
        <w:t>、</w:t>
      </w:r>
      <w:r>
        <w:rPr>
          <w:rFonts w:ascii="Times New Roman" w:hAnsi="Times New Roman" w:eastAsia="楷体_GB2312"/>
          <w:sz w:val="24"/>
        </w:rPr>
        <w:fldChar w:fldCharType="begin"/>
      </w:r>
      <w:r>
        <w:rPr>
          <w:rFonts w:ascii="Times New Roman" w:hAnsi="Times New Roman" w:eastAsia="楷体_GB2312"/>
          <w:sz w:val="24"/>
        </w:rPr>
        <w:instrText xml:space="preserve"> REF _Ref156556896 \r \h  \* MERGEFORMAT </w:instrText>
      </w:r>
      <w:r>
        <w:rPr>
          <w:rFonts w:ascii="Times New Roman" w:hAnsi="Times New Roman" w:eastAsia="楷体_GB2312"/>
          <w:sz w:val="24"/>
        </w:rPr>
        <w:fldChar w:fldCharType="separate"/>
      </w:r>
      <w:r>
        <w:rPr>
          <w:rFonts w:ascii="Times New Roman" w:hAnsi="Times New Roman" w:eastAsia="楷体_GB2312"/>
          <w:sz w:val="24"/>
        </w:rPr>
        <w:t>(</w:t>
      </w:r>
      <w:r>
        <w:rPr>
          <w:rFonts w:hint="eastAsia" w:ascii="Times New Roman" w:hAnsi="Times New Roman" w:eastAsia="楷体_GB2312"/>
          <w:sz w:val="24"/>
        </w:rPr>
        <w:t>11</w:t>
      </w:r>
      <w:r>
        <w:rPr>
          <w:rFonts w:ascii="Times New Roman" w:hAnsi="Times New Roman" w:eastAsia="楷体_GB2312"/>
          <w:sz w:val="24"/>
        </w:rPr>
        <w:t>)</w:t>
      </w:r>
      <w:r>
        <w:rPr>
          <w:rFonts w:ascii="Times New Roman" w:hAnsi="Times New Roman" w:eastAsia="楷体_GB2312"/>
          <w:sz w:val="24"/>
        </w:rPr>
        <w:fldChar w:fldCharType="end"/>
      </w:r>
      <w:r>
        <w:rPr>
          <w:rFonts w:ascii="Times New Roman" w:hAnsi="Times New Roman" w:eastAsia="楷体_GB2312"/>
          <w:sz w:val="24"/>
        </w:rPr>
        <w:t>及</w:t>
      </w:r>
      <w:r>
        <w:rPr>
          <w:rFonts w:ascii="Times New Roman" w:hAnsi="Times New Roman" w:eastAsia="楷体_GB2312"/>
          <w:sz w:val="24"/>
        </w:rPr>
        <w:fldChar w:fldCharType="begin"/>
      </w:r>
      <w:r>
        <w:rPr>
          <w:rFonts w:ascii="Times New Roman" w:hAnsi="Times New Roman" w:eastAsia="楷体_GB2312"/>
          <w:sz w:val="24"/>
        </w:rPr>
        <w:instrText xml:space="preserve"> REF _Ref150544060 \r \h  \* MERGEFORMAT </w:instrText>
      </w:r>
      <w:r>
        <w:rPr>
          <w:rFonts w:ascii="Times New Roman" w:hAnsi="Times New Roman" w:eastAsia="楷体_GB2312"/>
          <w:sz w:val="24"/>
        </w:rPr>
        <w:fldChar w:fldCharType="separate"/>
      </w:r>
      <w:r>
        <w:rPr>
          <w:rFonts w:ascii="Times New Roman" w:hAnsi="Times New Roman" w:eastAsia="楷体_GB2312"/>
          <w:sz w:val="24"/>
        </w:rPr>
        <w:t>(</w:t>
      </w:r>
      <w:r>
        <w:rPr>
          <w:rFonts w:hint="eastAsia" w:ascii="Times New Roman" w:hAnsi="Times New Roman" w:eastAsia="楷体_GB2312"/>
          <w:sz w:val="24"/>
        </w:rPr>
        <w:t>13</w:t>
      </w:r>
      <w:r>
        <w:rPr>
          <w:rFonts w:ascii="Times New Roman" w:hAnsi="Times New Roman" w:eastAsia="楷体_GB2312"/>
          <w:sz w:val="24"/>
        </w:rPr>
        <w:t>)</w:t>
      </w:r>
      <w:r>
        <w:rPr>
          <w:rFonts w:ascii="Times New Roman" w:hAnsi="Times New Roman" w:eastAsia="楷体_GB2312"/>
          <w:sz w:val="24"/>
        </w:rPr>
        <w:fldChar w:fldCharType="end"/>
      </w:r>
      <w:r>
        <w:rPr>
          <w:rFonts w:ascii="Times New Roman" w:hAnsi="Times New Roman" w:eastAsia="楷体_GB2312"/>
          <w:sz w:val="24"/>
        </w:rPr>
        <w:t>项的约定从相应账户转入“本金分账户”的资金的总金额按以下顺序进行分配（如不足以支付，同顺序的各项应受偿金额按比例支付，且所差金额应按以下顺序在下一期支付）；在“持续购买期”内原则上仅进行以下第</w:t>
      </w:r>
      <w:r>
        <w:rPr>
          <w:rFonts w:ascii="Times New Roman" w:hAnsi="Times New Roman" w:eastAsia="楷体_GB2312"/>
          <w:sz w:val="24"/>
        </w:rPr>
        <w:fldChar w:fldCharType="begin"/>
      </w:r>
      <w:r>
        <w:rPr>
          <w:rFonts w:ascii="Times New Roman" w:hAnsi="Times New Roman" w:eastAsia="楷体_GB2312"/>
          <w:sz w:val="24"/>
        </w:rPr>
        <w:instrText xml:space="preserve"> REF _Ref150542634 \r \h  \* MERGEFORMAT </w:instrText>
      </w:r>
      <w:r>
        <w:rPr>
          <w:rFonts w:ascii="Times New Roman" w:hAnsi="Times New Roman" w:eastAsia="楷体_GB2312"/>
          <w:sz w:val="24"/>
        </w:rPr>
        <w:fldChar w:fldCharType="separate"/>
      </w:r>
      <w:r>
        <w:rPr>
          <w:rFonts w:ascii="Times New Roman" w:hAnsi="Times New Roman" w:eastAsia="楷体_GB2312"/>
          <w:sz w:val="24"/>
        </w:rPr>
        <w:t>(</w:t>
      </w:r>
      <w:r>
        <w:rPr>
          <w:rFonts w:hint="eastAsia" w:ascii="Times New Roman" w:hAnsi="Times New Roman" w:eastAsia="楷体_GB2312"/>
          <w:sz w:val="24"/>
        </w:rPr>
        <w:t>1</w:t>
      </w:r>
      <w:r>
        <w:rPr>
          <w:rFonts w:ascii="Times New Roman" w:hAnsi="Times New Roman" w:eastAsia="楷体_GB2312"/>
          <w:sz w:val="24"/>
        </w:rPr>
        <w:t>)</w:t>
      </w:r>
      <w:r>
        <w:rPr>
          <w:rFonts w:ascii="Times New Roman" w:hAnsi="Times New Roman" w:eastAsia="楷体_GB2312"/>
          <w:sz w:val="24"/>
        </w:rPr>
        <w:fldChar w:fldCharType="end"/>
      </w:r>
      <w:r>
        <w:rPr>
          <w:rFonts w:ascii="Times New Roman" w:hAnsi="Times New Roman" w:eastAsia="楷体_GB2312"/>
          <w:sz w:val="24"/>
        </w:rPr>
        <w:t>项分配（如需），不进行其他分配，其余资金将被用于向“委托人”根据“《资产持续购买合同》”的约定持续购买新增“资产”，持续购买后的剩余资金（如有）将留存于“本金分账户”（可用于“合格投资”和/或在下一期持续购买新增“资产”）</w:t>
      </w:r>
    </w:p>
    <w:p w14:paraId="5901C02D">
      <w:pPr>
        <w:numPr>
          <w:ilvl w:val="0"/>
          <w:numId w:val="25"/>
        </w:numPr>
        <w:spacing w:before="156" w:beforeLines="50" w:after="156" w:afterLines="50" w:line="360" w:lineRule="auto"/>
        <w:ind w:left="2127"/>
        <w:rPr>
          <w:rFonts w:ascii="Times New Roman" w:hAnsi="Times New Roman" w:eastAsia="楷体_GB2312"/>
          <w:sz w:val="24"/>
        </w:rPr>
      </w:pPr>
      <w:bookmarkStart w:id="405" w:name="_Ref150542634"/>
      <w:bookmarkStart w:id="406" w:name="_Ref156558991"/>
      <w:r>
        <w:rPr>
          <w:rFonts w:ascii="Times New Roman" w:hAnsi="Times New Roman" w:eastAsia="楷体_GB2312"/>
          <w:sz w:val="24"/>
        </w:rPr>
        <w:t>转入“收入分账户”项下一定数额资金，以确保“收入分账户”项下资金（包括已从“信托（流动性）储备账户”转入的相应款项）可以足额支付本合同第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_Ref201564636 \r \h  \* MERGEFORMAT </w:instrText>
      </w:r>
      <w:r>
        <w:rPr>
          <w:rFonts w:ascii="Times New Roman" w:hAnsi="Times New Roman" w:eastAsia="楷体_GB2312"/>
          <w:sz w:val="24"/>
        </w:rPr>
        <w:fldChar w:fldCharType="separate"/>
      </w:r>
      <w:r>
        <w:rPr>
          <w:rFonts w:ascii="Times New Roman" w:hAnsi="Times New Roman" w:eastAsia="楷体_GB2312"/>
          <w:sz w:val="24"/>
        </w:rPr>
        <w:t>11.5.1</w:t>
      </w:r>
      <w:r>
        <w:rPr>
          <w:rFonts w:ascii="Times New Roman" w:hAnsi="Times New Roman" w:eastAsia="楷体_GB2312"/>
          <w:sz w:val="24"/>
        </w:rPr>
        <w:fldChar w:fldCharType="end"/>
      </w:r>
      <w:r>
        <w:rPr>
          <w:rFonts w:ascii="Times New Roman" w:hAnsi="Times New Roman" w:eastAsia="楷体_GB2312"/>
          <w:sz w:val="24"/>
        </w:rPr>
        <w:t>款</w:t>
      </w:r>
      <w:r>
        <w:rPr>
          <w:rFonts w:hint="eastAsia" w:ascii="Times New Roman" w:hAnsi="Times New Roman" w:eastAsia="楷体_GB2312"/>
          <w:sz w:val="24"/>
        </w:rPr>
        <w:t>第</w:t>
      </w:r>
      <w:r>
        <w:rPr>
          <w:rFonts w:ascii="Times New Roman" w:hAnsi="Times New Roman" w:eastAsia="楷体_GB2312"/>
          <w:sz w:val="24"/>
        </w:rPr>
        <w:t>【】至【】项约定的应付款项；</w:t>
      </w:r>
      <w:bookmarkEnd w:id="405"/>
      <w:bookmarkEnd w:id="406"/>
    </w:p>
    <w:p w14:paraId="333663A7">
      <w:pPr>
        <w:numPr>
          <w:ilvl w:val="0"/>
          <w:numId w:val="25"/>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转入“信托分配（证券）账户”一定金额，用以同顺序支付“优先A级资产支持证券”的本金，直至所有“优先A级资产支持证券”的“未偿本金余额”为零；</w:t>
      </w:r>
    </w:p>
    <w:p w14:paraId="4899C753">
      <w:pPr>
        <w:numPr>
          <w:ilvl w:val="0"/>
          <w:numId w:val="25"/>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转入“信托分配（证券）账户”一定金额，用以同顺序支付“优先B级资产支持证券”的本金，直至所有“优先B级资产支持证券”的“未偿本金余额”为零；</w:t>
      </w:r>
    </w:p>
    <w:p w14:paraId="4E8083D5">
      <w:pPr>
        <w:numPr>
          <w:ilvl w:val="0"/>
          <w:numId w:val="25"/>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转入“信托分配（证券）账户”一定金额，用以同顺序支付“次级资产支持证券”的本金，直至所有“次级资产支持证券”的“未偿本金余额”为零；</w:t>
      </w:r>
    </w:p>
    <w:p w14:paraId="334E6390">
      <w:pPr>
        <w:numPr>
          <w:ilvl w:val="0"/>
          <w:numId w:val="25"/>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剩余资金全部作为“次级资产支持证券”的收益，记入“信托分配（证券）账户”直至“次级资产支持证券”的累计收益达到人民币【】元；</w:t>
      </w:r>
    </w:p>
    <w:p w14:paraId="614E5557">
      <w:pPr>
        <w:numPr>
          <w:ilvl w:val="0"/>
          <w:numId w:val="25"/>
        </w:numPr>
        <w:spacing w:before="156" w:beforeLines="50" w:after="156" w:afterLines="50" w:line="360" w:lineRule="auto"/>
        <w:ind w:left="2127"/>
        <w:rPr>
          <w:rFonts w:ascii="Times New Roman" w:hAnsi="Times New Roman" w:eastAsia="楷体_GB2312"/>
          <w:b/>
          <w:i/>
          <w:color w:val="FF0000"/>
          <w:sz w:val="24"/>
        </w:rPr>
      </w:pPr>
      <w:bookmarkStart w:id="407" w:name="_Ref376982467"/>
      <w:r>
        <w:rPr>
          <w:rFonts w:ascii="Times New Roman" w:hAnsi="Times New Roman" w:eastAsia="楷体_GB2312"/>
          <w:sz w:val="24"/>
        </w:rPr>
        <w:t>全部“次级资产支持证券”的累计收益超过人民币【】元后，超过部分的【】%作为“贷款服务机构”的浮动报酬记入“信托分配（费用和开支）账户”，其余资金作为“次级资产支持证券”的收益记入“信托分配（证券）账户”。</w:t>
      </w:r>
      <w:bookmarkEnd w:id="407"/>
    </w:p>
    <w:p w14:paraId="152CD621">
      <w:pPr>
        <w:numPr>
          <w:ilvl w:val="1"/>
          <w:numId w:val="6"/>
        </w:numPr>
        <w:spacing w:before="156" w:beforeLines="50" w:after="156" w:afterLines="50" w:line="360" w:lineRule="auto"/>
        <w:outlineLvl w:val="1"/>
        <w:rPr>
          <w:rFonts w:ascii="Times New Roman" w:hAnsi="Times New Roman" w:eastAsia="楷体_GB2312"/>
          <w:b/>
          <w:sz w:val="24"/>
        </w:rPr>
      </w:pPr>
      <w:bookmarkStart w:id="408" w:name="_Ref173768326"/>
      <w:bookmarkStart w:id="409" w:name="_Toc201569422"/>
      <w:bookmarkStart w:id="410" w:name="_Ref180850304"/>
      <w:r>
        <w:rPr>
          <w:rFonts w:ascii="Times New Roman" w:hAnsi="Times New Roman" w:eastAsia="楷体_GB2312"/>
          <w:b/>
          <w:sz w:val="24"/>
        </w:rPr>
        <w:t>违约事件发生后</w:t>
      </w:r>
      <w:bookmarkEnd w:id="408"/>
      <w:r>
        <w:rPr>
          <w:rFonts w:ascii="Times New Roman" w:hAnsi="Times New Roman" w:eastAsia="楷体_GB2312"/>
          <w:b/>
          <w:sz w:val="24"/>
        </w:rPr>
        <w:t>的回收款分配</w:t>
      </w:r>
      <w:bookmarkEnd w:id="409"/>
      <w:bookmarkEnd w:id="410"/>
    </w:p>
    <w:p w14:paraId="741F7C90">
      <w:pPr>
        <w:pStyle w:val="93"/>
        <w:spacing w:line="360" w:lineRule="auto"/>
        <w:ind w:left="425" w:firstLine="415" w:firstLineChars="0"/>
        <w:rPr>
          <w:rFonts w:ascii="Times New Roman" w:hAnsi="Times New Roman" w:eastAsia="楷体_GB2312"/>
          <w:b/>
          <w:i/>
          <w:iCs/>
          <w:color w:val="FF0000"/>
          <w:lang w:eastAsia="zh-CN"/>
        </w:rPr>
      </w:pPr>
      <w:r>
        <w:rPr>
          <w:rFonts w:ascii="Times New Roman" w:hAnsi="Times New Roman" w:eastAsia="楷体_GB2312"/>
          <w:b/>
          <w:bCs/>
          <w:i/>
          <w:iCs/>
          <w:color w:val="FF0000"/>
          <w:lang w:eastAsia="zh-CN"/>
        </w:rPr>
        <w:t>【注：具体项目的现金流分配顺序待根据实际情况调整。】</w:t>
      </w:r>
    </w:p>
    <w:p w14:paraId="76FA9293">
      <w:pPr>
        <w:spacing w:before="156" w:beforeLines="50" w:after="156" w:afterLines="50" w:line="360" w:lineRule="auto"/>
        <w:ind w:left="1080"/>
        <w:rPr>
          <w:rFonts w:ascii="Times New Roman" w:hAnsi="Times New Roman" w:eastAsia="楷体_GB2312"/>
          <w:sz w:val="24"/>
        </w:rPr>
      </w:pPr>
      <w:r>
        <w:rPr>
          <w:rFonts w:ascii="Times New Roman" w:hAnsi="Times New Roman" w:eastAsia="楷体_GB2312"/>
          <w:sz w:val="24"/>
        </w:rPr>
        <w:t>在“违约事件”发生后，“受托人”应于每一个“分配指令发送日”向“资金保管机构”发出“分配指令”，指令“资金保管机构”于每个“信托分配日”将前一个“收款期间”内收到的全部“回收款”从相应账户转入“信托收款账户”的所有款项之和按以下顺序进行分配（如不足以支付，同顺序的各项应受偿金额按比例支付，且所差金额应按以下顺序在下一期支付）：</w:t>
      </w:r>
    </w:p>
    <w:p w14:paraId="05D611C2">
      <w:pPr>
        <w:numPr>
          <w:ilvl w:val="0"/>
          <w:numId w:val="26"/>
        </w:numPr>
        <w:spacing w:before="156" w:beforeLines="50" w:after="156" w:afterLines="50" w:line="360" w:lineRule="auto"/>
        <w:ind w:left="1560"/>
        <w:rPr>
          <w:rFonts w:ascii="Times New Roman" w:hAnsi="Times New Roman" w:eastAsia="楷体_GB2312"/>
          <w:sz w:val="24"/>
        </w:rPr>
      </w:pPr>
      <w:bookmarkStart w:id="411" w:name="_Ref150893330"/>
      <w:r>
        <w:rPr>
          <w:rFonts w:ascii="Times New Roman" w:hAnsi="Times New Roman" w:eastAsia="楷体_GB2312"/>
          <w:sz w:val="24"/>
        </w:rPr>
        <w:t>将依据相关“中国”“法律”应由“受托人”缴纳的与“信托”相关的“税收”记入“信托分配（税收）账户”；</w:t>
      </w:r>
      <w:bookmarkEnd w:id="411"/>
    </w:p>
    <w:p w14:paraId="0073F8CD">
      <w:pPr>
        <w:numPr>
          <w:ilvl w:val="0"/>
          <w:numId w:val="26"/>
        </w:numPr>
        <w:spacing w:before="156" w:beforeLines="50" w:after="156" w:afterLines="50" w:line="360" w:lineRule="auto"/>
        <w:ind w:left="1560"/>
        <w:rPr>
          <w:rFonts w:ascii="Times New Roman" w:hAnsi="Times New Roman" w:eastAsia="楷体_GB2312"/>
          <w:sz w:val="24"/>
        </w:rPr>
      </w:pPr>
      <w:bookmarkStart w:id="412" w:name="_Ref196646001"/>
      <w:bookmarkStart w:id="413" w:name="_Ref150893332"/>
      <w:r>
        <w:rPr>
          <w:rFonts w:ascii="Times New Roman" w:hAnsi="Times New Roman" w:eastAsia="楷体_GB2312"/>
          <w:sz w:val="24"/>
        </w:rPr>
        <w:t>将应支付的“受托机构”垫付的发行登记服务费（如有）记入“信托分配（费用和开支）账户”；</w:t>
      </w:r>
    </w:p>
    <w:p w14:paraId="7C1C8239">
      <w:pPr>
        <w:numPr>
          <w:ilvl w:val="0"/>
          <w:numId w:val="26"/>
        </w:numPr>
        <w:spacing w:before="156" w:beforeLines="50" w:after="156" w:afterLines="50" w:line="360" w:lineRule="auto"/>
        <w:ind w:left="1560"/>
        <w:rPr>
          <w:rFonts w:ascii="Times New Roman" w:hAnsi="Times New Roman" w:eastAsia="楷体_GB2312"/>
          <w:sz w:val="24"/>
        </w:rPr>
      </w:pPr>
      <w:r>
        <w:rPr>
          <w:rFonts w:ascii="Times New Roman" w:hAnsi="Times New Roman" w:eastAsia="楷体_GB2312"/>
          <w:sz w:val="24"/>
        </w:rPr>
        <w:t>将应支付的下述累计应付未付的报酬和费用记入“信托分配（费用和开支）账户”，直至该等报酬和费用均清偿完毕：“受托人”垫付的为“资产支持证券”发行之目的发生的资金汇划费、信托公告费、信息披露费等费用（如有）、“承销报酬”、委托“评级机构”对“优先级资产支持证券”进行初始评级（不含跟踪评级）所发生的费用、委托“法律顾问”和“会计顾问</w:t>
      </w:r>
      <w:r>
        <w:rPr>
          <w:rFonts w:hint="eastAsia" w:ascii="Times New Roman" w:hAnsi="Times New Roman" w:eastAsia="楷体_GB2312"/>
          <w:sz w:val="24"/>
        </w:rPr>
        <w:t>/税务</w:t>
      </w:r>
      <w:r>
        <w:rPr>
          <w:rFonts w:ascii="Times New Roman" w:hAnsi="Times New Roman" w:eastAsia="楷体_GB2312"/>
          <w:sz w:val="24"/>
        </w:rPr>
        <w:t>顾问”进行尽职调查或执行商定程序并出具专业意见所应付的报酬；</w:t>
      </w:r>
    </w:p>
    <w:p w14:paraId="6CBCB5EC">
      <w:pPr>
        <w:numPr>
          <w:ilvl w:val="0"/>
          <w:numId w:val="26"/>
        </w:numPr>
        <w:spacing w:before="156" w:beforeLines="50" w:after="156" w:afterLines="50" w:line="360" w:lineRule="auto"/>
        <w:ind w:left="1560"/>
        <w:rPr>
          <w:rFonts w:ascii="Times New Roman" w:hAnsi="Times New Roman" w:eastAsia="楷体_GB2312"/>
          <w:sz w:val="24"/>
        </w:rPr>
      </w:pPr>
      <w:r>
        <w:rPr>
          <w:rFonts w:ascii="Times New Roman" w:hAnsi="Times New Roman" w:eastAsia="楷体_GB2312"/>
          <w:sz w:val="24"/>
        </w:rPr>
        <w:t>同顺序将应支付的(a)“支付代理机构”/“登记托管机构”的报酬、(b)“受托人”的报酬、(c)“资金保管机构”的报酬、(d)“评级机构”提供跟踪评级服务的报酬（如有）、(e)“审计师”的报酬、(f)“后备贷款服务机构”（如有）的报酬、(g)</w:t>
      </w:r>
      <w:r>
        <w:rPr>
          <w:rFonts w:ascii="Times New Roman" w:hAnsi="Times New Roman" w:eastAsia="楷体_GB2312"/>
          <w:color w:val="000000"/>
          <w:sz w:val="24"/>
        </w:rPr>
        <w:t>“受托人”因“清仓回购”而聘请第三方专业机构对剩余“资产池”进行评估所发生的费用、</w:t>
      </w:r>
      <w:r>
        <w:rPr>
          <w:rFonts w:ascii="Times New Roman" w:hAnsi="Times New Roman" w:eastAsia="楷体_GB2312"/>
          <w:sz w:val="24"/>
        </w:rPr>
        <w:t>(h)上述相关主体和“贷款服务机构”各自可报销的实际“费用支出”（包括以往各期未付金额）、(</w:t>
      </w:r>
      <w:r>
        <w:rPr>
          <w:rFonts w:hint="eastAsia" w:ascii="Times New Roman" w:hAnsi="Times New Roman" w:eastAsia="楷体_GB2312"/>
          <w:sz w:val="24"/>
        </w:rPr>
        <w:t>i</w:t>
      </w:r>
      <w:r>
        <w:rPr>
          <w:rFonts w:ascii="Times New Roman" w:hAnsi="Times New Roman" w:eastAsia="楷体_GB2312"/>
          <w:sz w:val="24"/>
        </w:rPr>
        <w:t>)“受托人”按照本合同的约定以固有财产垫付的代为发送“权利完善通知”所发生的费用（如有）</w:t>
      </w:r>
      <w:bookmarkEnd w:id="412"/>
      <w:r>
        <w:rPr>
          <w:rFonts w:ascii="Times New Roman" w:hAnsi="Times New Roman" w:eastAsia="楷体_GB2312"/>
          <w:sz w:val="24"/>
        </w:rPr>
        <w:t>记入“信托分配（费用和开支）账户”；</w:t>
      </w:r>
    </w:p>
    <w:bookmarkEnd w:id="413"/>
    <w:p w14:paraId="1E9C15CC">
      <w:pPr>
        <w:numPr>
          <w:ilvl w:val="0"/>
          <w:numId w:val="26"/>
        </w:numPr>
        <w:spacing w:before="156" w:beforeLines="50" w:after="156" w:afterLines="50" w:line="360" w:lineRule="auto"/>
        <w:ind w:left="1560"/>
        <w:rPr>
          <w:rFonts w:ascii="Times New Roman" w:hAnsi="Times New Roman" w:eastAsia="楷体_GB2312"/>
          <w:sz w:val="24"/>
        </w:rPr>
      </w:pPr>
      <w:bookmarkStart w:id="414" w:name="_Ref377117171"/>
      <w:r>
        <w:rPr>
          <w:rFonts w:ascii="Times New Roman" w:hAnsi="Times New Roman" w:eastAsia="楷体_GB2312"/>
          <w:sz w:val="24"/>
        </w:rPr>
        <w:t>如果该“违约事件”不是“贷款服务机构”直接或间接引致的，将应付给“贷款服务机构”的固定报酬总额（包括以往各期未付金额）记入“信托分配（费用和开支）账户”；</w:t>
      </w:r>
      <w:bookmarkEnd w:id="414"/>
    </w:p>
    <w:p w14:paraId="64FCFEB6">
      <w:pPr>
        <w:numPr>
          <w:ilvl w:val="0"/>
          <w:numId w:val="26"/>
        </w:numPr>
        <w:spacing w:before="156" w:beforeLines="50" w:after="156" w:afterLines="50" w:line="360" w:lineRule="auto"/>
        <w:ind w:left="1560"/>
        <w:rPr>
          <w:rFonts w:ascii="Times New Roman" w:hAnsi="Times New Roman" w:eastAsia="楷体_GB2312"/>
          <w:sz w:val="24"/>
        </w:rPr>
      </w:pPr>
      <w:bookmarkStart w:id="415" w:name="_Ref340408884"/>
      <w:r>
        <w:rPr>
          <w:rFonts w:ascii="Times New Roman" w:hAnsi="Times New Roman" w:eastAsia="楷体_GB2312"/>
          <w:sz w:val="24"/>
        </w:rPr>
        <w:t>同顺序按应受偿利息金额的比例将下一个“支付日”应支付的“优先A级资产支持证券”利息（包括以往各个“计息期间”未付的利息）记入“信托分配（证券）账户”；</w:t>
      </w:r>
      <w:bookmarkEnd w:id="415"/>
    </w:p>
    <w:p w14:paraId="58C47085">
      <w:pPr>
        <w:numPr>
          <w:ilvl w:val="0"/>
          <w:numId w:val="26"/>
        </w:numPr>
        <w:spacing w:before="156" w:beforeLines="50" w:after="156" w:afterLines="50" w:line="360" w:lineRule="auto"/>
        <w:ind w:left="1560"/>
        <w:rPr>
          <w:rFonts w:ascii="Times New Roman" w:hAnsi="Times New Roman" w:eastAsia="楷体_GB2312"/>
          <w:sz w:val="24"/>
        </w:rPr>
      </w:pPr>
      <w:r>
        <w:rPr>
          <w:rFonts w:ascii="Times New Roman" w:hAnsi="Times New Roman" w:eastAsia="楷体_GB2312"/>
          <w:sz w:val="24"/>
        </w:rPr>
        <w:t>记入“信托分配（证券）账户”一定金额，用以同顺序支付“优先A级资产支持证券”的本金，直至所有“优先A级资产支持证券”的“未偿本金余额”为零；</w:t>
      </w:r>
    </w:p>
    <w:p w14:paraId="031D8772">
      <w:pPr>
        <w:numPr>
          <w:ilvl w:val="0"/>
          <w:numId w:val="26"/>
        </w:numPr>
        <w:spacing w:before="156" w:beforeLines="50" w:after="156" w:afterLines="50" w:line="360" w:lineRule="auto"/>
        <w:ind w:left="1560"/>
        <w:rPr>
          <w:rFonts w:ascii="Times New Roman" w:hAnsi="Times New Roman" w:eastAsia="楷体_GB2312"/>
          <w:sz w:val="24"/>
        </w:rPr>
      </w:pPr>
      <w:bookmarkStart w:id="416" w:name="_Ref377117207"/>
      <w:r>
        <w:rPr>
          <w:rFonts w:ascii="Times New Roman" w:hAnsi="Times New Roman" w:eastAsia="楷体_GB2312"/>
          <w:sz w:val="24"/>
        </w:rPr>
        <w:t>同顺序按应受偿利息金额的比例将下一个“支付日”应支付的“优先B级资产支持证券”的利息（包括以往各个“计息期间”未付的利息）记入“信托分配（证券）账户”；</w:t>
      </w:r>
      <w:bookmarkEnd w:id="416"/>
    </w:p>
    <w:p w14:paraId="1EE1CDD3">
      <w:pPr>
        <w:numPr>
          <w:ilvl w:val="0"/>
          <w:numId w:val="26"/>
        </w:numPr>
        <w:spacing w:before="156" w:beforeLines="50" w:after="156" w:afterLines="50" w:line="360" w:lineRule="auto"/>
        <w:ind w:left="1560"/>
        <w:rPr>
          <w:rFonts w:ascii="Times New Roman" w:hAnsi="Times New Roman" w:eastAsia="楷体_GB2312"/>
          <w:sz w:val="24"/>
        </w:rPr>
      </w:pPr>
      <w:r>
        <w:rPr>
          <w:rFonts w:ascii="Times New Roman" w:hAnsi="Times New Roman" w:eastAsia="楷体_GB2312"/>
          <w:sz w:val="24"/>
        </w:rPr>
        <w:t>记入“信托分配（证券）账户”一定金额，用以同顺序支付偿还“优先B级资产支持证券”的本金，直至所有“优先B级资产支持证券”的“未偿本金余额”为零；</w:t>
      </w:r>
    </w:p>
    <w:p w14:paraId="57A1CDFA">
      <w:pPr>
        <w:numPr>
          <w:ilvl w:val="0"/>
          <w:numId w:val="26"/>
        </w:numPr>
        <w:spacing w:before="156" w:beforeLines="50" w:after="156" w:afterLines="50" w:line="360" w:lineRule="auto"/>
        <w:ind w:left="1560"/>
        <w:rPr>
          <w:rFonts w:ascii="Times New Roman" w:hAnsi="Times New Roman" w:eastAsia="楷体_GB2312"/>
          <w:sz w:val="24"/>
        </w:rPr>
      </w:pPr>
      <w:bookmarkStart w:id="417" w:name="_Ref376982981"/>
      <w:r>
        <w:rPr>
          <w:rFonts w:ascii="Times New Roman" w:hAnsi="Times New Roman" w:eastAsia="楷体_GB2312"/>
          <w:sz w:val="24"/>
        </w:rPr>
        <w:t>如果该“违约事件”是“贷款服务机构”直接或间接引致的，将应付给“贷款服务机构”的固定报酬总额（包括以往各期未付金额）记入“信托分配（费用和开支）账户”；</w:t>
      </w:r>
      <w:bookmarkEnd w:id="417"/>
    </w:p>
    <w:p w14:paraId="7567D4BF">
      <w:pPr>
        <w:numPr>
          <w:ilvl w:val="0"/>
          <w:numId w:val="26"/>
        </w:numPr>
        <w:spacing w:before="156" w:beforeLines="50" w:after="156" w:afterLines="50" w:line="360" w:lineRule="auto"/>
        <w:ind w:left="1560"/>
        <w:rPr>
          <w:rFonts w:ascii="Times New Roman" w:hAnsi="Times New Roman" w:eastAsia="楷体_GB2312"/>
          <w:sz w:val="24"/>
        </w:rPr>
      </w:pPr>
      <w:r>
        <w:rPr>
          <w:rFonts w:ascii="Times New Roman" w:hAnsi="Times New Roman" w:eastAsia="楷体_GB2312"/>
          <w:sz w:val="24"/>
        </w:rPr>
        <w:t>记入“信托分配（证券）账户”一定金额，用以同顺序支付偿还“次级资产支持证券”的本金，直至所有“次级资产支持证券”的“未偿本金余额”为零；</w:t>
      </w:r>
    </w:p>
    <w:p w14:paraId="2B5996EE">
      <w:pPr>
        <w:numPr>
          <w:ilvl w:val="0"/>
          <w:numId w:val="26"/>
        </w:numPr>
        <w:spacing w:before="156" w:beforeLines="50" w:after="156" w:afterLines="50" w:line="360" w:lineRule="auto"/>
        <w:ind w:left="1560"/>
        <w:rPr>
          <w:rFonts w:ascii="Times New Roman" w:hAnsi="Times New Roman" w:eastAsia="楷体_GB2312"/>
          <w:sz w:val="24"/>
        </w:rPr>
      </w:pPr>
      <w:r>
        <w:rPr>
          <w:rFonts w:ascii="Times New Roman" w:hAnsi="Times New Roman" w:eastAsia="楷体_GB2312"/>
          <w:sz w:val="24"/>
        </w:rPr>
        <w:t>剩余资金全部作为“次级资产支持证券”的收益记入“信托分配（证券）账户”，直至“次级资产支持证券”的累计收益达到人民币【】元；</w:t>
      </w:r>
    </w:p>
    <w:p w14:paraId="26FFDF89">
      <w:pPr>
        <w:numPr>
          <w:ilvl w:val="0"/>
          <w:numId w:val="26"/>
        </w:numPr>
        <w:spacing w:before="156" w:beforeLines="50" w:after="156" w:afterLines="50" w:line="360" w:lineRule="auto"/>
        <w:ind w:left="1560"/>
        <w:rPr>
          <w:rFonts w:ascii="Times New Roman" w:hAnsi="Times New Roman" w:eastAsia="楷体_GB2312"/>
          <w:sz w:val="24"/>
        </w:rPr>
      </w:pPr>
      <w:r>
        <w:rPr>
          <w:rFonts w:ascii="Times New Roman" w:hAnsi="Times New Roman" w:eastAsia="楷体_GB2312"/>
          <w:sz w:val="24"/>
        </w:rPr>
        <w:t>全部“次级资产支持证券”的累计收益超过人民币【】元后，超过部分的【】%作为“贷款服务机构”的浮动报酬记入“信托分配（费用和开支）账户”，其余资金作为“次级资产支持证券”的收益记入“信托分配（证券）账户”。</w:t>
      </w:r>
    </w:p>
    <w:p w14:paraId="412F51A7">
      <w:pPr>
        <w:numPr>
          <w:ilvl w:val="1"/>
          <w:numId w:val="6"/>
        </w:numPr>
        <w:spacing w:before="156" w:beforeLines="50" w:after="156" w:afterLines="50" w:line="360" w:lineRule="auto"/>
        <w:outlineLvl w:val="1"/>
        <w:rPr>
          <w:rFonts w:ascii="Times New Roman" w:hAnsi="Times New Roman" w:eastAsia="楷体_GB2312"/>
          <w:b/>
          <w:sz w:val="24"/>
        </w:rPr>
      </w:pPr>
      <w:bookmarkStart w:id="418" w:name="_Ref350866176"/>
      <w:bookmarkStart w:id="419" w:name="_Ref201654968"/>
      <w:r>
        <w:rPr>
          <w:rFonts w:ascii="Times New Roman" w:hAnsi="Times New Roman" w:eastAsia="楷体_GB2312"/>
          <w:b/>
          <w:sz w:val="24"/>
        </w:rPr>
        <w:t>信托终止后信托财产的分配</w:t>
      </w:r>
      <w:bookmarkEnd w:id="418"/>
      <w:bookmarkEnd w:id="419"/>
    </w:p>
    <w:p w14:paraId="4F5C4710">
      <w:pPr>
        <w:pStyle w:val="93"/>
        <w:spacing w:line="360" w:lineRule="auto"/>
        <w:ind w:left="436" w:firstLine="415" w:firstLineChars="0"/>
        <w:rPr>
          <w:rFonts w:ascii="Times New Roman" w:hAnsi="Times New Roman" w:eastAsia="楷体_GB2312"/>
          <w:b/>
          <w:i/>
          <w:iCs/>
          <w:color w:val="FF0000"/>
          <w:lang w:eastAsia="zh-CN"/>
        </w:rPr>
      </w:pPr>
      <w:r>
        <w:rPr>
          <w:rFonts w:ascii="Times New Roman" w:hAnsi="Times New Roman" w:eastAsia="楷体_GB2312"/>
          <w:b/>
          <w:bCs/>
          <w:i/>
          <w:iCs/>
          <w:color w:val="FF0000"/>
          <w:lang w:eastAsia="zh-CN"/>
        </w:rPr>
        <w:t>【注：具体项目的现金流分配顺序待根据实际情况调整。】</w:t>
      </w:r>
    </w:p>
    <w:p w14:paraId="221F1106">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在“信托终止日”后，“受托人”应将剩余全部“信托财产”按以下顺序进行分配（如不足以支付，同顺序的各项应受偿金额按比例支付）：</w:t>
      </w:r>
    </w:p>
    <w:p w14:paraId="1CDCCF59">
      <w:pPr>
        <w:numPr>
          <w:ilvl w:val="0"/>
          <w:numId w:val="27"/>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将依据相关“中国”“法律”应由“受托人”缴纳的与“信托”相关的“税收”记入“信托分配（税收）账户”；</w:t>
      </w:r>
    </w:p>
    <w:p w14:paraId="5E0B5DB3">
      <w:pPr>
        <w:numPr>
          <w:ilvl w:val="0"/>
          <w:numId w:val="27"/>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将信托清算期间所发生的与“信托财产”清算相关的合理费用记入“信托分配（费用和开支）账户”；</w:t>
      </w:r>
    </w:p>
    <w:p w14:paraId="75168A18">
      <w:pPr>
        <w:numPr>
          <w:ilvl w:val="0"/>
          <w:numId w:val="27"/>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将应付给“支付代理机构”/“登记托管机构”的报酬以及“受托机构”垫付的发行登记服务费（如有）记入“信托分配（费用和开支）账户”；</w:t>
      </w:r>
    </w:p>
    <w:p w14:paraId="7CBCB466">
      <w:pPr>
        <w:numPr>
          <w:ilvl w:val="0"/>
          <w:numId w:val="27"/>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将下述累计应付未付的报酬和费用记入“信托分配（费用和开支）账户”，直至该等报酬和费用均清偿完毕：“受托人”垫付的为“资产支持证券”发行之目的发生的资金汇划费、信托公告费、信息披露费等费用（如有）、“承销报酬”、委托“评级机构”对“优先级资产支持证券”进行初始评级（不含跟踪评级）所发生的费用、委托“法律顾问”和“会计顾问</w:t>
      </w:r>
      <w:r>
        <w:rPr>
          <w:rFonts w:hint="eastAsia" w:ascii="Times New Roman" w:hAnsi="Times New Roman" w:eastAsia="楷体_GB2312"/>
          <w:sz w:val="24"/>
        </w:rPr>
        <w:t>/税务</w:t>
      </w:r>
      <w:r>
        <w:rPr>
          <w:rFonts w:ascii="Times New Roman" w:hAnsi="Times New Roman" w:eastAsia="楷体_GB2312"/>
          <w:sz w:val="24"/>
        </w:rPr>
        <w:t>顾问”进行尽职调查或执行商定程序并出具专业意见所应付的报酬；</w:t>
      </w:r>
    </w:p>
    <w:p w14:paraId="6E61ACA8">
      <w:pPr>
        <w:numPr>
          <w:ilvl w:val="0"/>
          <w:numId w:val="27"/>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同顺序将应支付的(a)“受托人”的报酬、(b)“资金保管机构”的报酬、(c)“评级机构”提供跟踪评级服务的报酬（如有）、(d)“审计师”的报酬、(e)“后备贷款服务机构”（如有）的报酬、(f)</w:t>
      </w:r>
      <w:r>
        <w:rPr>
          <w:rFonts w:ascii="Times New Roman" w:hAnsi="Times New Roman" w:eastAsia="楷体_GB2312"/>
          <w:color w:val="000000"/>
          <w:sz w:val="24"/>
        </w:rPr>
        <w:t>“受托人”因“清仓回购”而聘请第三方专业机构对剩余“资产池”进行评估所发生的费用、</w:t>
      </w:r>
      <w:r>
        <w:rPr>
          <w:rFonts w:ascii="Times New Roman" w:hAnsi="Times New Roman" w:eastAsia="楷体_GB2312"/>
          <w:sz w:val="24"/>
        </w:rPr>
        <w:t>(</w:t>
      </w:r>
      <w:r>
        <w:rPr>
          <w:rFonts w:hint="eastAsia" w:ascii="Times New Roman" w:hAnsi="Times New Roman" w:eastAsia="楷体_GB2312"/>
          <w:sz w:val="24"/>
        </w:rPr>
        <w:t>g</w:t>
      </w:r>
      <w:r>
        <w:rPr>
          <w:rFonts w:ascii="Times New Roman" w:hAnsi="Times New Roman" w:eastAsia="楷体_GB2312"/>
          <w:sz w:val="24"/>
        </w:rPr>
        <w:t>)上述相关主体和“贷款服务机构”各自可报销的实际“费用支出”（包括以往各期未付金额）、(</w:t>
      </w:r>
      <w:r>
        <w:rPr>
          <w:rFonts w:hint="eastAsia" w:ascii="Times New Roman" w:hAnsi="Times New Roman" w:eastAsia="楷体_GB2312"/>
          <w:sz w:val="24"/>
        </w:rPr>
        <w:t>h</w:t>
      </w:r>
      <w:r>
        <w:rPr>
          <w:rFonts w:ascii="Times New Roman" w:hAnsi="Times New Roman" w:eastAsia="楷体_GB2312"/>
          <w:sz w:val="24"/>
        </w:rPr>
        <w:t xml:space="preserve">)“受托人”按照本合同的约定以固有财产垫付的代为发送“权利完善通知”所发生的费用（如有）记入“信托分配（费用和开支）账户”； </w:t>
      </w:r>
    </w:p>
    <w:p w14:paraId="34298FC2">
      <w:pPr>
        <w:numPr>
          <w:ilvl w:val="0"/>
          <w:numId w:val="27"/>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将应付给“贷款服务机构”的固定报酬总额（包括以往各期未付金额）记入“信托分配（费用和开支）账户”；</w:t>
      </w:r>
    </w:p>
    <w:p w14:paraId="397CE084">
      <w:pPr>
        <w:numPr>
          <w:ilvl w:val="0"/>
          <w:numId w:val="27"/>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同顺序按应受偿利息金额比例将应支付的“优先A级资产支持证券”利息（包括以往各个“计息期间”未付的利息）记入“信托分配（证券）账户”；</w:t>
      </w:r>
    </w:p>
    <w:p w14:paraId="06BDF608">
      <w:pPr>
        <w:numPr>
          <w:ilvl w:val="0"/>
          <w:numId w:val="27"/>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记入“信托分配（证券）账户”一定金额，用以同顺序支付“优先A级资产支持证券”的本金，直至所有“优先A级资产支持证券”“未偿本金余额”为零；</w:t>
      </w:r>
    </w:p>
    <w:p w14:paraId="40944EB9">
      <w:pPr>
        <w:numPr>
          <w:ilvl w:val="0"/>
          <w:numId w:val="27"/>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同顺序按应受偿利息金额比例将应支付的“优先B级资产支持证券”的利息（包括以往各个“计息期间”未付的利息）记入“信托分配（证券）账户”；</w:t>
      </w:r>
    </w:p>
    <w:p w14:paraId="149CE36E">
      <w:pPr>
        <w:numPr>
          <w:ilvl w:val="0"/>
          <w:numId w:val="27"/>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记入“信托分配（证券）账户”一定金额，用以同顺序支付“优先B级资产支持证券”的本金，直至所有“优先B级资产支持证券”的“未偿本金余额”为零；</w:t>
      </w:r>
    </w:p>
    <w:p w14:paraId="61CDACBB">
      <w:pPr>
        <w:numPr>
          <w:ilvl w:val="0"/>
          <w:numId w:val="27"/>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如届时“贷款服务机构”同时为“次级资产支持证券持有人”，则经“次级资产支持证券持有人”一致同意，“受托人”可以以剩余“信托财产”原状的方式向所有“次级资产支持证券持有人”、“贷款服务机构”进行分配，具体的分配方案应当经“次级资产支持证券持有人”书面一致同意方可进行；如“次级资产支持证券持有人”不能就分配方案达成书面的一致意见，则“受托人”应当按照本合同约定清算“非现金信托财产”，并将“回收款”继续按以下顺序进行分配；</w:t>
      </w:r>
    </w:p>
    <w:p w14:paraId="2A685D7F">
      <w:pPr>
        <w:numPr>
          <w:ilvl w:val="0"/>
          <w:numId w:val="27"/>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记入“信托分配（证券）账户”一定金额，用以同顺序偿还“次级资产支持证券”的本金，直至所有“次级资产支持证券”的“未偿本金余额”为零；</w:t>
      </w:r>
    </w:p>
    <w:p w14:paraId="00D7A9A2">
      <w:pPr>
        <w:numPr>
          <w:ilvl w:val="0"/>
          <w:numId w:val="27"/>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剩余财产全部作为“次级资产支持证券”的收益记入“信托分配（证券）账户”一定金额，直至“次级资产支持证券”的累计收益达到人民币【】元；</w:t>
      </w:r>
    </w:p>
    <w:p w14:paraId="6C934CD1">
      <w:pPr>
        <w:numPr>
          <w:ilvl w:val="0"/>
          <w:numId w:val="27"/>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全部“次级资产支持证券”的累计收益超过人民币【】元后，超过部分的【】%作为“贷款服务机构”的浮动报酬记入“信托分配（费用和开支）账户”，其余资金作为“次级资产支持证券”的收益记入“信托分配（证券）账户”一定金额。</w:t>
      </w:r>
    </w:p>
    <w:p w14:paraId="69F6EB21">
      <w:pPr>
        <w:numPr>
          <w:ilvl w:val="1"/>
          <w:numId w:val="6"/>
        </w:numPr>
        <w:spacing w:before="156" w:beforeLines="50" w:after="156" w:afterLines="50" w:line="360" w:lineRule="auto"/>
        <w:outlineLvl w:val="1"/>
        <w:rPr>
          <w:rFonts w:ascii="Times New Roman" w:hAnsi="Times New Roman" w:eastAsia="楷体_GB2312"/>
          <w:b/>
          <w:sz w:val="24"/>
        </w:rPr>
      </w:pPr>
      <w:bookmarkStart w:id="420" w:name="_Toc387837634"/>
      <w:bookmarkEnd w:id="420"/>
      <w:bookmarkStart w:id="421" w:name="_Toc387837842"/>
      <w:bookmarkEnd w:id="421"/>
      <w:bookmarkStart w:id="422" w:name="_Toc387848470"/>
      <w:bookmarkEnd w:id="422"/>
      <w:bookmarkStart w:id="423" w:name="_Toc387837766"/>
      <w:bookmarkEnd w:id="423"/>
      <w:bookmarkStart w:id="424" w:name="_Toc387837865"/>
      <w:bookmarkEnd w:id="424"/>
      <w:bookmarkStart w:id="425" w:name="_Toc387837752"/>
      <w:bookmarkEnd w:id="425"/>
      <w:bookmarkStart w:id="426" w:name="_Toc387837844"/>
      <w:bookmarkEnd w:id="426"/>
      <w:bookmarkStart w:id="427" w:name="_Toc387837640"/>
      <w:bookmarkEnd w:id="427"/>
      <w:bookmarkStart w:id="428" w:name="_Toc387837645"/>
      <w:bookmarkEnd w:id="428"/>
      <w:bookmarkStart w:id="429" w:name="_Toc387837837"/>
      <w:bookmarkEnd w:id="429"/>
      <w:bookmarkStart w:id="430" w:name="_Toc387837736"/>
      <w:bookmarkEnd w:id="430"/>
      <w:bookmarkStart w:id="431" w:name="_DV_M324"/>
      <w:bookmarkEnd w:id="431"/>
      <w:bookmarkStart w:id="432" w:name="_Toc387837679"/>
      <w:bookmarkEnd w:id="432"/>
      <w:bookmarkStart w:id="433" w:name="_DV_M265"/>
      <w:bookmarkEnd w:id="433"/>
      <w:bookmarkStart w:id="434" w:name="_Toc387837761"/>
      <w:bookmarkEnd w:id="434"/>
      <w:bookmarkStart w:id="435" w:name="_Toc387837673"/>
      <w:bookmarkEnd w:id="435"/>
      <w:bookmarkStart w:id="436" w:name="_DV_M356"/>
      <w:bookmarkEnd w:id="436"/>
      <w:bookmarkStart w:id="437" w:name="_DV_M298"/>
      <w:bookmarkEnd w:id="437"/>
      <w:bookmarkStart w:id="438" w:name="_Toc387848428"/>
      <w:bookmarkEnd w:id="438"/>
      <w:bookmarkStart w:id="439" w:name="_Toc387837840"/>
      <w:bookmarkEnd w:id="439"/>
      <w:bookmarkStart w:id="440" w:name="_Toc387837850"/>
      <w:bookmarkEnd w:id="440"/>
      <w:bookmarkStart w:id="441" w:name="_Toc339987091"/>
      <w:bookmarkEnd w:id="441"/>
      <w:bookmarkStart w:id="442" w:name="_Toc387837728"/>
      <w:bookmarkEnd w:id="442"/>
      <w:bookmarkStart w:id="443" w:name="_Toc387837775"/>
      <w:bookmarkEnd w:id="443"/>
      <w:bookmarkStart w:id="444" w:name="_Toc387837667"/>
      <w:bookmarkEnd w:id="444"/>
      <w:bookmarkStart w:id="445" w:name="_DV_M388"/>
      <w:bookmarkEnd w:id="445"/>
      <w:bookmarkStart w:id="446" w:name="_Toc387837654"/>
      <w:bookmarkEnd w:id="446"/>
      <w:bookmarkStart w:id="447" w:name="_Toc387837641"/>
      <w:bookmarkEnd w:id="447"/>
      <w:bookmarkStart w:id="448" w:name="_Toc387837854"/>
      <w:bookmarkEnd w:id="448"/>
      <w:bookmarkStart w:id="449" w:name="_Toc387837823"/>
      <w:bookmarkEnd w:id="449"/>
      <w:bookmarkStart w:id="450" w:name="_Toc387837773"/>
      <w:bookmarkEnd w:id="450"/>
      <w:bookmarkStart w:id="451" w:name="_Toc387837655"/>
      <w:bookmarkEnd w:id="451"/>
      <w:bookmarkStart w:id="452" w:name="_Toc387837851"/>
      <w:bookmarkEnd w:id="452"/>
      <w:bookmarkStart w:id="453" w:name="_Toc387837849"/>
      <w:bookmarkEnd w:id="453"/>
      <w:bookmarkStart w:id="454" w:name="_Toc387837839"/>
      <w:bookmarkEnd w:id="454"/>
      <w:bookmarkStart w:id="455" w:name="_Toc387848467"/>
      <w:bookmarkEnd w:id="455"/>
      <w:bookmarkStart w:id="456" w:name="_Toc387848463"/>
      <w:bookmarkEnd w:id="456"/>
      <w:bookmarkStart w:id="457" w:name="_Toc387848465"/>
      <w:bookmarkEnd w:id="457"/>
      <w:bookmarkStart w:id="458" w:name="_Toc387848439"/>
      <w:bookmarkEnd w:id="458"/>
      <w:bookmarkStart w:id="459" w:name="_Toc387848447"/>
      <w:bookmarkEnd w:id="459"/>
      <w:bookmarkStart w:id="460" w:name="_DV_M301"/>
      <w:bookmarkEnd w:id="460"/>
      <w:bookmarkStart w:id="461" w:name="_Toc387837831"/>
      <w:bookmarkEnd w:id="461"/>
      <w:bookmarkStart w:id="462" w:name="_DV_M336"/>
      <w:bookmarkEnd w:id="462"/>
      <w:bookmarkStart w:id="463" w:name="_Toc387837827"/>
      <w:bookmarkEnd w:id="463"/>
      <w:bookmarkStart w:id="464" w:name="_DV_M357"/>
      <w:bookmarkEnd w:id="464"/>
      <w:bookmarkStart w:id="465" w:name="_DV_M363"/>
      <w:bookmarkEnd w:id="465"/>
      <w:bookmarkStart w:id="466" w:name="_Toc387837647"/>
      <w:bookmarkEnd w:id="466"/>
      <w:bookmarkStart w:id="467" w:name="_Toc148384224"/>
      <w:bookmarkEnd w:id="467"/>
      <w:bookmarkStart w:id="468" w:name="_Toc387837846"/>
      <w:bookmarkEnd w:id="468"/>
      <w:bookmarkStart w:id="469" w:name="_Toc387837653"/>
      <w:bookmarkEnd w:id="469"/>
      <w:bookmarkStart w:id="470" w:name="_DV_M297"/>
      <w:bookmarkEnd w:id="470"/>
      <w:bookmarkStart w:id="471" w:name="_Toc387837765"/>
      <w:bookmarkEnd w:id="471"/>
      <w:bookmarkStart w:id="472" w:name="_Toc387837671"/>
      <w:bookmarkEnd w:id="472"/>
      <w:bookmarkStart w:id="473" w:name="_Toc387848453"/>
      <w:bookmarkEnd w:id="473"/>
      <w:bookmarkStart w:id="474" w:name="_DV_M276"/>
      <w:bookmarkEnd w:id="474"/>
      <w:bookmarkStart w:id="475" w:name="_Toc387848466"/>
      <w:bookmarkEnd w:id="475"/>
      <w:bookmarkStart w:id="476" w:name="_Toc387837836"/>
      <w:bookmarkEnd w:id="476"/>
      <w:bookmarkStart w:id="477" w:name="_Toc387837740"/>
      <w:bookmarkEnd w:id="477"/>
      <w:bookmarkStart w:id="478" w:name="_DV_M362"/>
      <w:bookmarkEnd w:id="478"/>
      <w:bookmarkStart w:id="479" w:name="_Toc387837750"/>
      <w:bookmarkEnd w:id="479"/>
      <w:bookmarkStart w:id="480" w:name="_Toc340398377"/>
      <w:bookmarkEnd w:id="480"/>
      <w:bookmarkStart w:id="481" w:name="_DV_M267"/>
      <w:bookmarkEnd w:id="481"/>
      <w:bookmarkStart w:id="482" w:name="_Toc387837662"/>
      <w:bookmarkEnd w:id="482"/>
      <w:bookmarkStart w:id="483" w:name="_DV_M348"/>
      <w:bookmarkEnd w:id="483"/>
      <w:bookmarkStart w:id="484" w:name="_DV_M272"/>
      <w:bookmarkEnd w:id="484"/>
      <w:bookmarkStart w:id="485" w:name="_Toc387837660"/>
      <w:bookmarkEnd w:id="485"/>
      <w:bookmarkStart w:id="486" w:name="_Toc148440814"/>
      <w:bookmarkEnd w:id="486"/>
      <w:bookmarkStart w:id="487" w:name="_Toc387837843"/>
      <w:bookmarkEnd w:id="487"/>
      <w:bookmarkStart w:id="488" w:name="_Toc387837866"/>
      <w:bookmarkEnd w:id="488"/>
      <w:bookmarkStart w:id="489" w:name="_Toc148384241"/>
      <w:bookmarkEnd w:id="489"/>
      <w:bookmarkStart w:id="490" w:name="_Toc387837657"/>
      <w:bookmarkEnd w:id="490"/>
      <w:bookmarkStart w:id="491" w:name="_DV_M358"/>
      <w:bookmarkEnd w:id="491"/>
      <w:bookmarkStart w:id="492" w:name="_Toc387848472"/>
      <w:bookmarkEnd w:id="492"/>
      <w:bookmarkStart w:id="493" w:name="_Toc387848457"/>
      <w:bookmarkEnd w:id="493"/>
      <w:bookmarkStart w:id="494" w:name="_Toc340398380"/>
      <w:bookmarkEnd w:id="494"/>
      <w:bookmarkStart w:id="495" w:name="_Toc107769481"/>
      <w:bookmarkEnd w:id="495"/>
      <w:bookmarkStart w:id="496" w:name="_DV_M391"/>
      <w:bookmarkEnd w:id="496"/>
      <w:bookmarkStart w:id="497" w:name="_Toc387837852"/>
      <w:bookmarkEnd w:id="497"/>
      <w:bookmarkStart w:id="498" w:name="_Toc387837757"/>
      <w:bookmarkEnd w:id="498"/>
      <w:bookmarkStart w:id="499" w:name="_DV_M303"/>
      <w:bookmarkEnd w:id="499"/>
      <w:bookmarkStart w:id="500" w:name="_Toc387837668"/>
      <w:bookmarkEnd w:id="500"/>
      <w:bookmarkStart w:id="501" w:name="_Toc387837737"/>
      <w:bookmarkEnd w:id="501"/>
      <w:bookmarkStart w:id="502" w:name="_Toc387837639"/>
      <w:bookmarkEnd w:id="502"/>
      <w:bookmarkStart w:id="503" w:name="_Toc387837674"/>
      <w:bookmarkEnd w:id="503"/>
      <w:bookmarkStart w:id="504" w:name="_Toc387848449"/>
      <w:bookmarkEnd w:id="504"/>
      <w:bookmarkStart w:id="505" w:name="_DV_M335"/>
      <w:bookmarkEnd w:id="505"/>
      <w:bookmarkStart w:id="506" w:name="_Toc387837751"/>
      <w:bookmarkEnd w:id="506"/>
      <w:bookmarkStart w:id="507" w:name="_Toc387837855"/>
      <w:bookmarkEnd w:id="507"/>
      <w:bookmarkStart w:id="508" w:name="_Toc387848437"/>
      <w:bookmarkEnd w:id="508"/>
      <w:bookmarkStart w:id="509" w:name="_Toc387837643"/>
      <w:bookmarkEnd w:id="509"/>
      <w:bookmarkStart w:id="510" w:name="_Toc387837769"/>
      <w:bookmarkEnd w:id="510"/>
      <w:bookmarkStart w:id="511" w:name="_Toc387837644"/>
      <w:bookmarkEnd w:id="511"/>
      <w:bookmarkStart w:id="512" w:name="_Toc387837834"/>
      <w:bookmarkEnd w:id="512"/>
      <w:bookmarkStart w:id="513" w:name="_Toc387837822"/>
      <w:bookmarkEnd w:id="513"/>
      <w:bookmarkStart w:id="514" w:name="_Toc339987045"/>
      <w:bookmarkEnd w:id="514"/>
      <w:bookmarkStart w:id="515" w:name="_Toc340398378"/>
      <w:bookmarkEnd w:id="515"/>
      <w:bookmarkStart w:id="516" w:name="_Toc387837774"/>
      <w:bookmarkEnd w:id="516"/>
      <w:bookmarkStart w:id="517" w:name="_Toc387848435"/>
      <w:bookmarkEnd w:id="517"/>
      <w:bookmarkStart w:id="518" w:name="_Toc387837862"/>
      <w:bookmarkEnd w:id="518"/>
      <w:bookmarkStart w:id="519" w:name="_Toc340398382"/>
      <w:bookmarkEnd w:id="519"/>
      <w:bookmarkStart w:id="520" w:name="_Toc387837864"/>
      <w:bookmarkEnd w:id="520"/>
      <w:bookmarkStart w:id="521" w:name="_Toc387848452"/>
      <w:bookmarkEnd w:id="521"/>
      <w:bookmarkStart w:id="522" w:name="_Toc387848427"/>
      <w:bookmarkEnd w:id="522"/>
      <w:bookmarkStart w:id="523" w:name="_Toc387837841"/>
      <w:bookmarkEnd w:id="523"/>
      <w:bookmarkStart w:id="524" w:name="_Toc340398385"/>
      <w:bookmarkEnd w:id="524"/>
      <w:bookmarkStart w:id="525" w:name="_Toc387848462"/>
      <w:bookmarkEnd w:id="525"/>
      <w:bookmarkStart w:id="526" w:name="_Toc387837755"/>
      <w:bookmarkEnd w:id="526"/>
      <w:bookmarkStart w:id="527" w:name="_Toc387848444"/>
      <w:bookmarkEnd w:id="527"/>
      <w:bookmarkStart w:id="528" w:name="_Toc387837732"/>
      <w:bookmarkEnd w:id="528"/>
      <w:bookmarkStart w:id="529" w:name="_Toc387837828"/>
      <w:bookmarkEnd w:id="529"/>
      <w:bookmarkStart w:id="530" w:name="_Toc387848426"/>
      <w:bookmarkEnd w:id="530"/>
      <w:bookmarkStart w:id="531" w:name="_DV_M337"/>
      <w:bookmarkEnd w:id="531"/>
      <w:bookmarkStart w:id="532" w:name="_Toc387837745"/>
      <w:bookmarkEnd w:id="532"/>
      <w:bookmarkStart w:id="533" w:name="_Toc396828220"/>
      <w:bookmarkEnd w:id="533"/>
      <w:bookmarkStart w:id="534" w:name="_Toc387837663"/>
      <w:bookmarkEnd w:id="534"/>
      <w:bookmarkStart w:id="535" w:name="_Toc387837832"/>
      <w:bookmarkEnd w:id="535"/>
      <w:bookmarkStart w:id="536" w:name="_Toc387837748"/>
      <w:bookmarkEnd w:id="536"/>
      <w:bookmarkStart w:id="537" w:name="_DV_M339"/>
      <w:bookmarkEnd w:id="537"/>
      <w:bookmarkStart w:id="538" w:name="_Toc387837651"/>
      <w:bookmarkEnd w:id="538"/>
      <w:bookmarkStart w:id="539" w:name="_DV_M305"/>
      <w:bookmarkEnd w:id="539"/>
      <w:bookmarkStart w:id="540" w:name="_Toc387837847"/>
      <w:bookmarkEnd w:id="540"/>
      <w:bookmarkStart w:id="541" w:name="_Toc387837863"/>
      <w:bookmarkEnd w:id="541"/>
      <w:bookmarkStart w:id="542" w:name="_Toc387837742"/>
      <w:bookmarkEnd w:id="542"/>
      <w:bookmarkStart w:id="543" w:name="_Toc340398383"/>
      <w:bookmarkEnd w:id="543"/>
      <w:bookmarkStart w:id="544" w:name="_DV_M326"/>
      <w:bookmarkEnd w:id="544"/>
      <w:bookmarkStart w:id="545" w:name="_Toc387837661"/>
      <w:bookmarkEnd w:id="545"/>
      <w:bookmarkStart w:id="546" w:name="_Toc387837658"/>
      <w:bookmarkEnd w:id="546"/>
      <w:bookmarkStart w:id="547" w:name="_Toc387837746"/>
      <w:bookmarkEnd w:id="547"/>
      <w:bookmarkStart w:id="548" w:name="_Toc387837747"/>
      <w:bookmarkEnd w:id="548"/>
      <w:bookmarkStart w:id="549" w:name="_Toc340398379"/>
      <w:bookmarkEnd w:id="549"/>
      <w:bookmarkStart w:id="550" w:name="_Toc387837861"/>
      <w:bookmarkEnd w:id="550"/>
      <w:bookmarkStart w:id="551" w:name="_Toc387837656"/>
      <w:bookmarkEnd w:id="551"/>
      <w:bookmarkStart w:id="552" w:name="_Toc387837749"/>
      <w:bookmarkEnd w:id="552"/>
      <w:bookmarkStart w:id="553" w:name="_Toc387837845"/>
      <w:bookmarkEnd w:id="553"/>
      <w:bookmarkStart w:id="554" w:name="_DV_M264"/>
      <w:bookmarkEnd w:id="554"/>
      <w:bookmarkStart w:id="555" w:name="_Toc340398381"/>
      <w:bookmarkEnd w:id="555"/>
      <w:bookmarkStart w:id="556" w:name="_Toc387837825"/>
      <w:bookmarkEnd w:id="556"/>
      <w:bookmarkStart w:id="557" w:name="_Toc387837835"/>
      <w:bookmarkEnd w:id="557"/>
      <w:bookmarkStart w:id="558" w:name="_Toc387837767"/>
      <w:bookmarkEnd w:id="558"/>
      <w:bookmarkStart w:id="559" w:name="_Toc387837678"/>
      <w:bookmarkEnd w:id="559"/>
      <w:bookmarkStart w:id="560" w:name="_Toc387837853"/>
      <w:bookmarkEnd w:id="560"/>
      <w:bookmarkStart w:id="561" w:name="_Toc149386481"/>
      <w:bookmarkEnd w:id="561"/>
      <w:bookmarkStart w:id="562" w:name="_Toc387848440"/>
      <w:bookmarkEnd w:id="562"/>
      <w:bookmarkStart w:id="563" w:name="_Toc387848442"/>
      <w:bookmarkEnd w:id="563"/>
      <w:bookmarkStart w:id="564" w:name="_Toc340156100"/>
      <w:bookmarkEnd w:id="564"/>
      <w:bookmarkStart w:id="565" w:name="_Toc387848436"/>
      <w:bookmarkEnd w:id="565"/>
      <w:bookmarkStart w:id="566" w:name="_Toc387837826"/>
      <w:bookmarkEnd w:id="566"/>
      <w:bookmarkStart w:id="567" w:name="_Toc387837859"/>
      <w:bookmarkEnd w:id="567"/>
      <w:bookmarkStart w:id="568" w:name="_Toc387848455"/>
      <w:bookmarkEnd w:id="568"/>
      <w:bookmarkStart w:id="569" w:name="_DV_M281"/>
      <w:bookmarkEnd w:id="569"/>
      <w:bookmarkStart w:id="570" w:name="_Toc387837838"/>
      <w:bookmarkEnd w:id="570"/>
      <w:bookmarkStart w:id="571" w:name="_Toc387837860"/>
      <w:bookmarkEnd w:id="571"/>
      <w:bookmarkStart w:id="572" w:name="_Toc387837856"/>
      <w:bookmarkEnd w:id="572"/>
      <w:bookmarkStart w:id="573" w:name="_Toc387848460"/>
      <w:bookmarkEnd w:id="573"/>
      <w:bookmarkStart w:id="574" w:name="_Toc387837867"/>
      <w:bookmarkEnd w:id="574"/>
      <w:bookmarkStart w:id="575" w:name="_Toc387837670"/>
      <w:bookmarkEnd w:id="575"/>
      <w:bookmarkStart w:id="576" w:name="_Toc387837738"/>
      <w:bookmarkEnd w:id="576"/>
      <w:bookmarkStart w:id="577" w:name="_Toc387837753"/>
      <w:bookmarkEnd w:id="577"/>
      <w:bookmarkStart w:id="578" w:name="_Toc387848461"/>
      <w:bookmarkEnd w:id="578"/>
      <w:bookmarkStart w:id="579" w:name="_Toc340398384"/>
      <w:bookmarkEnd w:id="579"/>
      <w:bookmarkStart w:id="580" w:name="_DV_M280"/>
      <w:bookmarkEnd w:id="580"/>
      <w:bookmarkStart w:id="581" w:name="_Toc387848445"/>
      <w:bookmarkEnd w:id="581"/>
      <w:bookmarkStart w:id="582" w:name="_Toc387837833"/>
      <w:bookmarkEnd w:id="582"/>
      <w:bookmarkStart w:id="583" w:name="_DV_M338"/>
      <w:bookmarkEnd w:id="583"/>
      <w:bookmarkStart w:id="584" w:name="_Toc387837731"/>
      <w:bookmarkEnd w:id="584"/>
      <w:bookmarkStart w:id="585" w:name="_DV_M277"/>
      <w:bookmarkEnd w:id="585"/>
      <w:bookmarkStart w:id="586" w:name="_DV_M299"/>
      <w:bookmarkEnd w:id="586"/>
      <w:bookmarkStart w:id="587" w:name="_Toc387837829"/>
      <w:bookmarkEnd w:id="587"/>
      <w:bookmarkStart w:id="588" w:name="_Toc387837764"/>
      <w:bookmarkEnd w:id="588"/>
      <w:bookmarkStart w:id="589" w:name="_Toc387837677"/>
      <w:bookmarkEnd w:id="589"/>
      <w:bookmarkStart w:id="590" w:name="_Toc387837858"/>
      <w:bookmarkEnd w:id="590"/>
      <w:bookmarkStart w:id="591" w:name="_Toc387848469"/>
      <w:bookmarkEnd w:id="591"/>
      <w:bookmarkStart w:id="592" w:name="_DV_M304"/>
      <w:bookmarkEnd w:id="592"/>
      <w:bookmarkStart w:id="593" w:name="_Toc387837743"/>
      <w:bookmarkEnd w:id="593"/>
      <w:bookmarkStart w:id="594" w:name="_Toc387837648"/>
      <w:bookmarkEnd w:id="594"/>
      <w:bookmarkStart w:id="595" w:name="_DV_M302"/>
      <w:bookmarkEnd w:id="595"/>
      <w:bookmarkStart w:id="596" w:name="_Toc387837744"/>
      <w:bookmarkEnd w:id="596"/>
      <w:bookmarkStart w:id="597" w:name="_Toc387837739"/>
      <w:bookmarkEnd w:id="597"/>
      <w:bookmarkStart w:id="598" w:name="_Toc387848432"/>
      <w:bookmarkEnd w:id="598"/>
      <w:bookmarkStart w:id="599" w:name="_Toc387837741"/>
      <w:bookmarkEnd w:id="599"/>
      <w:bookmarkStart w:id="600" w:name="_Toc387837672"/>
      <w:bookmarkEnd w:id="600"/>
      <w:bookmarkStart w:id="601" w:name="_Toc387837734"/>
      <w:bookmarkEnd w:id="601"/>
      <w:bookmarkStart w:id="602" w:name="_Toc387837756"/>
      <w:bookmarkEnd w:id="602"/>
      <w:bookmarkStart w:id="603" w:name="_Toc387837646"/>
      <w:bookmarkEnd w:id="603"/>
      <w:bookmarkStart w:id="604" w:name="_Toc387848468"/>
      <w:bookmarkEnd w:id="604"/>
      <w:bookmarkStart w:id="605" w:name="_Toc387837735"/>
      <w:bookmarkEnd w:id="605"/>
      <w:bookmarkStart w:id="606" w:name="_Toc387848438"/>
      <w:bookmarkEnd w:id="606"/>
      <w:bookmarkStart w:id="607" w:name="_Toc387848458"/>
      <w:bookmarkEnd w:id="607"/>
      <w:bookmarkStart w:id="608" w:name="_Toc387837729"/>
      <w:bookmarkEnd w:id="608"/>
      <w:bookmarkStart w:id="609" w:name="_Toc387837636"/>
      <w:bookmarkEnd w:id="609"/>
      <w:bookmarkStart w:id="610" w:name="_Toc146989600"/>
      <w:bookmarkEnd w:id="610"/>
      <w:bookmarkStart w:id="611" w:name="_Toc387837857"/>
      <w:bookmarkEnd w:id="611"/>
      <w:bookmarkStart w:id="612" w:name="_Toc387837771"/>
      <w:bookmarkEnd w:id="612"/>
      <w:bookmarkStart w:id="613" w:name="_Toc387837763"/>
      <w:bookmarkEnd w:id="613"/>
      <w:bookmarkStart w:id="614" w:name="_Toc387837820"/>
      <w:bookmarkEnd w:id="614"/>
      <w:bookmarkStart w:id="615" w:name="_Toc387837762"/>
      <w:bookmarkEnd w:id="615"/>
      <w:bookmarkStart w:id="616" w:name="_Toc387837760"/>
      <w:bookmarkEnd w:id="616"/>
      <w:bookmarkStart w:id="617" w:name="_DV_M275"/>
      <w:bookmarkEnd w:id="617"/>
      <w:bookmarkStart w:id="618" w:name="_Toc387837638"/>
      <w:bookmarkEnd w:id="618"/>
      <w:bookmarkStart w:id="619" w:name="_Toc387837733"/>
      <w:bookmarkEnd w:id="619"/>
      <w:bookmarkStart w:id="620" w:name="_Toc387848471"/>
      <w:bookmarkEnd w:id="620"/>
      <w:bookmarkStart w:id="621" w:name="_Toc387848433"/>
      <w:bookmarkEnd w:id="621"/>
      <w:bookmarkStart w:id="622" w:name="_Toc387837665"/>
      <w:bookmarkEnd w:id="622"/>
      <w:bookmarkStart w:id="623" w:name="_Toc387848429"/>
      <w:bookmarkEnd w:id="623"/>
      <w:bookmarkStart w:id="624" w:name="_Toc387837637"/>
      <w:bookmarkEnd w:id="624"/>
      <w:bookmarkStart w:id="625" w:name="_Toc387837848"/>
      <w:bookmarkEnd w:id="625"/>
      <w:bookmarkStart w:id="626" w:name="_Toc387848454"/>
      <w:bookmarkEnd w:id="626"/>
      <w:bookmarkStart w:id="627" w:name="_Toc387848430"/>
      <w:bookmarkEnd w:id="627"/>
      <w:bookmarkStart w:id="628" w:name="_DV_M323"/>
      <w:bookmarkEnd w:id="628"/>
      <w:bookmarkStart w:id="629" w:name="_Toc387848446"/>
      <w:bookmarkEnd w:id="629"/>
      <w:bookmarkStart w:id="630" w:name="_Toc387848443"/>
      <w:bookmarkEnd w:id="630"/>
      <w:bookmarkStart w:id="631" w:name="_Toc387848459"/>
      <w:bookmarkEnd w:id="631"/>
      <w:bookmarkStart w:id="632" w:name="_Toc387848431"/>
      <w:bookmarkEnd w:id="632"/>
      <w:bookmarkStart w:id="633" w:name="_Toc387837759"/>
      <w:bookmarkEnd w:id="633"/>
      <w:bookmarkStart w:id="634" w:name="_Toc387837676"/>
      <w:bookmarkEnd w:id="634"/>
      <w:bookmarkStart w:id="635" w:name="_Toc387848448"/>
      <w:bookmarkEnd w:id="635"/>
      <w:bookmarkStart w:id="636" w:name="_Toc387837680"/>
      <w:bookmarkEnd w:id="636"/>
      <w:bookmarkStart w:id="637" w:name="_Toc387837824"/>
      <w:bookmarkEnd w:id="637"/>
      <w:bookmarkStart w:id="638" w:name="_Toc387837730"/>
      <w:bookmarkEnd w:id="638"/>
      <w:bookmarkStart w:id="639" w:name="_Toc387848456"/>
      <w:bookmarkEnd w:id="639"/>
      <w:bookmarkStart w:id="640" w:name="_Toc387848441"/>
      <w:bookmarkEnd w:id="640"/>
      <w:bookmarkStart w:id="641" w:name="_Toc387837642"/>
      <w:bookmarkEnd w:id="641"/>
      <w:bookmarkStart w:id="642" w:name="_Toc387837821"/>
      <w:bookmarkEnd w:id="642"/>
      <w:bookmarkStart w:id="643" w:name="_Toc387837664"/>
      <w:bookmarkEnd w:id="643"/>
      <w:bookmarkStart w:id="644" w:name="_Toc387837770"/>
      <w:bookmarkEnd w:id="644"/>
      <w:bookmarkStart w:id="645" w:name="_Toc387837652"/>
      <w:bookmarkEnd w:id="645"/>
      <w:bookmarkStart w:id="646" w:name="_DV_M279"/>
      <w:bookmarkEnd w:id="646"/>
      <w:bookmarkStart w:id="647" w:name="_DV_M273"/>
      <w:bookmarkEnd w:id="647"/>
      <w:bookmarkStart w:id="648" w:name="_Toc387837649"/>
      <w:bookmarkEnd w:id="648"/>
      <w:bookmarkStart w:id="649" w:name="_DV_M278"/>
      <w:bookmarkEnd w:id="649"/>
      <w:bookmarkStart w:id="650" w:name="_Toc340398386"/>
      <w:bookmarkEnd w:id="650"/>
      <w:bookmarkStart w:id="651" w:name="_Toc387837650"/>
      <w:bookmarkEnd w:id="651"/>
      <w:bookmarkStart w:id="652" w:name="_Toc387837675"/>
      <w:bookmarkEnd w:id="652"/>
      <w:bookmarkStart w:id="653" w:name="_Toc387837659"/>
      <w:bookmarkEnd w:id="653"/>
      <w:bookmarkStart w:id="654" w:name="_DV_M359"/>
      <w:bookmarkEnd w:id="654"/>
      <w:bookmarkStart w:id="655" w:name="_Toc387837754"/>
      <w:bookmarkEnd w:id="655"/>
      <w:bookmarkStart w:id="656" w:name="_Toc387837669"/>
      <w:bookmarkEnd w:id="656"/>
      <w:bookmarkStart w:id="657" w:name="_DV_M292"/>
      <w:bookmarkEnd w:id="657"/>
      <w:bookmarkStart w:id="658" w:name="_Toc387837635"/>
      <w:bookmarkEnd w:id="658"/>
      <w:bookmarkStart w:id="659" w:name="_DV_M390"/>
      <w:bookmarkEnd w:id="659"/>
      <w:bookmarkStart w:id="660" w:name="_DV_M325"/>
      <w:bookmarkEnd w:id="660"/>
      <w:bookmarkStart w:id="661" w:name="_Toc387837666"/>
      <w:bookmarkEnd w:id="661"/>
      <w:bookmarkStart w:id="662" w:name="_DV_M306"/>
      <w:bookmarkEnd w:id="662"/>
      <w:bookmarkStart w:id="663" w:name="_Toc387848451"/>
      <w:bookmarkEnd w:id="663"/>
      <w:bookmarkStart w:id="664" w:name="_DV_M389"/>
      <w:bookmarkEnd w:id="664"/>
      <w:bookmarkStart w:id="665" w:name="_Toc148440828"/>
      <w:bookmarkEnd w:id="665"/>
      <w:bookmarkStart w:id="666" w:name="_Toc387848450"/>
      <w:bookmarkEnd w:id="666"/>
      <w:bookmarkStart w:id="667" w:name="_Toc387837772"/>
      <w:bookmarkEnd w:id="667"/>
      <w:bookmarkStart w:id="668" w:name="_DV_M300"/>
      <w:bookmarkEnd w:id="668"/>
      <w:bookmarkStart w:id="669" w:name="_Toc387848464"/>
      <w:bookmarkEnd w:id="669"/>
      <w:bookmarkStart w:id="670" w:name="_Toc387837830"/>
      <w:bookmarkEnd w:id="670"/>
      <w:bookmarkStart w:id="671" w:name="_Toc387848434"/>
      <w:bookmarkEnd w:id="671"/>
      <w:bookmarkStart w:id="672" w:name="_Toc387837758"/>
      <w:bookmarkEnd w:id="672"/>
      <w:bookmarkStart w:id="673" w:name="_Toc387848425"/>
      <w:bookmarkEnd w:id="673"/>
      <w:bookmarkStart w:id="674" w:name="_Toc340083730"/>
      <w:bookmarkEnd w:id="674"/>
      <w:bookmarkStart w:id="675" w:name="_Toc387837681"/>
      <w:bookmarkEnd w:id="675"/>
      <w:bookmarkStart w:id="676" w:name="_Toc387837768"/>
      <w:bookmarkEnd w:id="676"/>
      <w:bookmarkStart w:id="677" w:name="_Ref332290272"/>
      <w:bookmarkStart w:id="678" w:name="_Ref403750181"/>
      <w:bookmarkStart w:id="679" w:name="_Ref378598144"/>
      <w:bookmarkStart w:id="680" w:name="_Ref201650603"/>
      <w:r>
        <w:rPr>
          <w:rFonts w:ascii="Times New Roman" w:hAnsi="Times New Roman" w:eastAsia="楷体_GB2312"/>
          <w:b/>
          <w:sz w:val="24"/>
        </w:rPr>
        <w:t>信托（流动性）储备账户资金的运用</w:t>
      </w:r>
      <w:bookmarkEnd w:id="677"/>
    </w:p>
    <w:p w14:paraId="40A74A73">
      <w:pPr>
        <w:pStyle w:val="93"/>
        <w:spacing w:line="360" w:lineRule="auto"/>
        <w:ind w:left="436" w:firstLine="415" w:firstLineChars="0"/>
        <w:rPr>
          <w:rFonts w:ascii="Times New Roman" w:hAnsi="Times New Roman" w:eastAsia="楷体_GB2312"/>
          <w:b/>
          <w:bCs/>
          <w:i/>
          <w:iCs/>
          <w:color w:val="FF0000"/>
          <w:lang w:eastAsia="zh-CN"/>
        </w:rPr>
      </w:pPr>
      <w:r>
        <w:rPr>
          <w:rFonts w:ascii="Times New Roman" w:hAnsi="Times New Roman" w:eastAsia="楷体_GB2312"/>
          <w:b/>
          <w:bCs/>
          <w:i/>
          <w:iCs/>
          <w:color w:val="FF0000"/>
          <w:lang w:eastAsia="zh-CN"/>
        </w:rPr>
        <w:t>【注：各账户具体资金运用可根据项目实际情况调整。】</w:t>
      </w:r>
    </w:p>
    <w:p w14:paraId="6CDFE21C">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bookmarkStart w:id="681" w:name="_Ref332294029"/>
      <w:r>
        <w:rPr>
          <w:rFonts w:ascii="Times New Roman" w:hAnsi="Times New Roman" w:eastAsia="楷体_GB2312"/>
          <w:sz w:val="24"/>
        </w:rPr>
        <w:t>在“违约事件”发生前的每个“信托分配日”，“资金保管机构”根据“受托机构”分配指令将该日在“信托（流动性）储备账户”中的金额按以下顺序进行支付：</w:t>
      </w:r>
      <w:bookmarkEnd w:id="681"/>
    </w:p>
    <w:p w14:paraId="63F23F2F">
      <w:pPr>
        <w:numPr>
          <w:ilvl w:val="0"/>
          <w:numId w:val="28"/>
        </w:numPr>
        <w:spacing w:before="156" w:beforeLines="50" w:after="156" w:afterLines="50" w:line="360" w:lineRule="auto"/>
        <w:ind w:left="2127"/>
        <w:rPr>
          <w:rFonts w:ascii="Times New Roman" w:hAnsi="Times New Roman" w:eastAsia="楷体_GB2312"/>
          <w:sz w:val="24"/>
        </w:rPr>
      </w:pPr>
      <w:bookmarkStart w:id="682" w:name="_Ref332294047"/>
      <w:r>
        <w:rPr>
          <w:rFonts w:ascii="Times New Roman" w:hAnsi="Times New Roman" w:eastAsia="楷体_GB2312"/>
          <w:sz w:val="24"/>
        </w:rPr>
        <w:t>将超出“必备（流动性）储备金额”的超额款项转入“收入分账户”；</w:t>
      </w:r>
      <w:bookmarkEnd w:id="682"/>
    </w:p>
    <w:p w14:paraId="5F6EE762">
      <w:pPr>
        <w:numPr>
          <w:ilvl w:val="0"/>
          <w:numId w:val="28"/>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将等值于根据本合同第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_Ref201564636 \r \h  \* MERGEFORMAT </w:instrText>
      </w:r>
      <w:r>
        <w:rPr>
          <w:rFonts w:ascii="Times New Roman" w:hAnsi="Times New Roman" w:eastAsia="楷体_GB2312"/>
          <w:sz w:val="24"/>
        </w:rPr>
        <w:fldChar w:fldCharType="separate"/>
      </w:r>
      <w:r>
        <w:rPr>
          <w:rFonts w:ascii="Times New Roman" w:hAnsi="Times New Roman" w:eastAsia="楷体_GB2312"/>
          <w:sz w:val="24"/>
        </w:rPr>
        <w:t>11.5.1</w:t>
      </w:r>
      <w:r>
        <w:rPr>
          <w:rFonts w:ascii="Times New Roman" w:hAnsi="Times New Roman" w:eastAsia="楷体_GB2312"/>
          <w:sz w:val="24"/>
        </w:rPr>
        <w:fldChar w:fldCharType="end"/>
      </w:r>
      <w:r>
        <w:rPr>
          <w:rFonts w:ascii="Times New Roman" w:hAnsi="Times New Roman" w:eastAsia="楷体_GB2312"/>
          <w:sz w:val="24"/>
        </w:rPr>
        <w:t>款第【】至【】项应付的款项的短缺金额的款项（在按照本合同第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_Ref332294029 \r \h  \* MERGEFORMAT </w:instrText>
      </w:r>
      <w:r>
        <w:rPr>
          <w:rFonts w:ascii="Times New Roman" w:hAnsi="Times New Roman" w:eastAsia="楷体_GB2312"/>
          <w:sz w:val="24"/>
        </w:rPr>
        <w:fldChar w:fldCharType="separate"/>
      </w:r>
      <w:r>
        <w:rPr>
          <w:rFonts w:ascii="Times New Roman" w:hAnsi="Times New Roman" w:eastAsia="楷体_GB2312"/>
          <w:sz w:val="24"/>
        </w:rPr>
        <w:t>11.8.1</w:t>
      </w:r>
      <w:r>
        <w:rPr>
          <w:rFonts w:ascii="Times New Roman" w:hAnsi="Times New Roman" w:eastAsia="楷体_GB2312"/>
          <w:sz w:val="24"/>
        </w:rPr>
        <w:fldChar w:fldCharType="end"/>
      </w:r>
      <w:r>
        <w:rPr>
          <w:rFonts w:ascii="Times New Roman" w:hAnsi="Times New Roman" w:eastAsia="楷体_GB2312"/>
          <w:sz w:val="24"/>
        </w:rPr>
        <w:t>款第</w:t>
      </w:r>
      <w:r>
        <w:rPr>
          <w:rFonts w:ascii="Times New Roman" w:hAnsi="Times New Roman" w:eastAsia="楷体_GB2312"/>
          <w:sz w:val="24"/>
        </w:rPr>
        <w:fldChar w:fldCharType="begin"/>
      </w:r>
      <w:r>
        <w:rPr>
          <w:rFonts w:ascii="Times New Roman" w:hAnsi="Times New Roman" w:eastAsia="楷体_GB2312"/>
          <w:sz w:val="24"/>
        </w:rPr>
        <w:instrText xml:space="preserve"> REF _Ref332294047 \r \h  \* MERGEFORMAT </w:instrText>
      </w:r>
      <w:r>
        <w:rPr>
          <w:rFonts w:ascii="Times New Roman" w:hAnsi="Times New Roman" w:eastAsia="楷体_GB2312"/>
          <w:sz w:val="24"/>
        </w:rPr>
        <w:fldChar w:fldCharType="separate"/>
      </w:r>
      <w:r>
        <w:rPr>
          <w:rFonts w:ascii="Times New Roman" w:hAnsi="Times New Roman" w:eastAsia="楷体_GB2312"/>
          <w:sz w:val="24"/>
        </w:rPr>
        <w:t>(1)</w:t>
      </w:r>
      <w:r>
        <w:rPr>
          <w:rFonts w:ascii="Times New Roman" w:hAnsi="Times New Roman" w:eastAsia="楷体_GB2312"/>
          <w:sz w:val="24"/>
        </w:rPr>
        <w:fldChar w:fldCharType="end"/>
      </w:r>
      <w:r>
        <w:rPr>
          <w:rFonts w:ascii="Times New Roman" w:hAnsi="Times New Roman" w:eastAsia="楷体_GB2312"/>
          <w:sz w:val="24"/>
        </w:rPr>
        <w:t>项转入超额款项后仍短缺的部分）转入“收入分账户”；</w:t>
      </w:r>
    </w:p>
    <w:p w14:paraId="3CAF775D">
      <w:pPr>
        <w:numPr>
          <w:ilvl w:val="0"/>
          <w:numId w:val="28"/>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将剩余金额保留在“信托（流动性）储备账户”。</w:t>
      </w:r>
    </w:p>
    <w:p w14:paraId="3282FFAE">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在所有“优先级资产支持证券”的本金款项得以全部清偿之日或“违约事件”发生或“信托终止日”后，“受托机构”应指示“资金保管机构”将届时“信托（流动性）储备账户”中的全部金额转入“收入分账户”。</w:t>
      </w:r>
    </w:p>
    <w:p w14:paraId="66978855">
      <w:pPr>
        <w:numPr>
          <w:ilvl w:val="1"/>
          <w:numId w:val="6"/>
        </w:numPr>
        <w:spacing w:before="156" w:beforeLines="50" w:after="156" w:afterLines="50" w:line="360" w:lineRule="auto"/>
        <w:outlineLvl w:val="1"/>
        <w:rPr>
          <w:rFonts w:ascii="Times New Roman" w:hAnsi="Times New Roman" w:eastAsia="楷体_GB2312"/>
          <w:b/>
          <w:sz w:val="24"/>
        </w:rPr>
      </w:pPr>
      <w:bookmarkStart w:id="683" w:name="_Ref221480975"/>
      <w:r>
        <w:rPr>
          <w:rFonts w:ascii="Times New Roman" w:hAnsi="Times New Roman" w:eastAsia="楷体_GB2312"/>
          <w:b/>
          <w:sz w:val="24"/>
        </w:rPr>
        <w:t>信托分配（税收）账户项下资金的运用</w:t>
      </w:r>
      <w:bookmarkEnd w:id="678"/>
      <w:bookmarkEnd w:id="683"/>
    </w:p>
    <w:p w14:paraId="5E5601B7">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依据“中国”“法律”，由“受托人”缴纳与“信托”相关的“税收”（包括但不限于本“信托”运营过程中就增值税应税收入应缴纳的增值税及其附加税）和规费，“受托人</w:t>
      </w:r>
      <w:bookmarkEnd w:id="679"/>
      <w:r>
        <w:rPr>
          <w:rFonts w:ascii="Times New Roman" w:hAnsi="Times New Roman" w:eastAsia="楷体_GB2312"/>
          <w:sz w:val="24"/>
        </w:rPr>
        <w:t>”指令“资金保管机构”将“信托分配（税收）账户”项下按以下顺序进行支付：</w:t>
      </w:r>
    </w:p>
    <w:p w14:paraId="248CA558">
      <w:pPr>
        <w:numPr>
          <w:ilvl w:val="0"/>
          <w:numId w:val="29"/>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支付“信托”届时应缴纳的“税收”（包括但不限于本“信托”运营过程中就增值税应税收入应缴纳的增值税及其附加税）；</w:t>
      </w:r>
    </w:p>
    <w:p w14:paraId="42AFEEF8">
      <w:pPr>
        <w:numPr>
          <w:ilvl w:val="0"/>
          <w:numId w:val="29"/>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将剩余金额保留在“信托分配（税收）账户”项下。</w:t>
      </w:r>
    </w:p>
    <w:p w14:paraId="726F7D4D">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在“信托”所有应付税款全部支付完成后，“受托人”应指示“资金保管机构”将“信托分配（税收）账户”项下资金转入“收入分账户”。</w:t>
      </w:r>
    </w:p>
    <w:p w14:paraId="3A26F1AD">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信托分配（证券）账户资金的运用</w:t>
      </w:r>
    </w:p>
    <w:p w14:paraId="031259AF">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bookmarkStart w:id="684" w:name="_Ref146336202"/>
      <w:r>
        <w:rPr>
          <w:rFonts w:ascii="Times New Roman" w:hAnsi="Times New Roman" w:eastAsia="楷体_GB2312"/>
          <w:sz w:val="24"/>
        </w:rPr>
        <w:t>“违约事件”发生以前，“受托人”应当向“资金保管机构”发出“划款指令”，指令“资金保管机构”于每个“支付日”的前【】个“工作日”【</w:t>
      </w:r>
      <w:r>
        <w:rPr>
          <w:rFonts w:hint="eastAsia" w:ascii="Times New Roman" w:hAnsi="Times New Roman" w:eastAsia="楷体_GB2312"/>
          <w:i/>
          <w:iCs/>
          <w:sz w:val="24"/>
        </w:rPr>
        <w:t>具体时点</w:t>
      </w:r>
      <w:r>
        <w:rPr>
          <w:rFonts w:ascii="Times New Roman" w:hAnsi="Times New Roman" w:eastAsia="楷体_GB2312"/>
          <w:sz w:val="24"/>
        </w:rPr>
        <w:t>】前，将“信托分配日”转入“信托分配（证券）账户”项下的利息金额按以下顺序进行支付（如不足以支付，同顺序的各项应受偿金额按比例支付，且除以下第</w:t>
      </w:r>
      <w:r>
        <w:rPr>
          <w:rFonts w:ascii="Times New Roman" w:hAnsi="Times New Roman" w:eastAsia="楷体_GB2312"/>
          <w:sz w:val="24"/>
        </w:rPr>
        <w:fldChar w:fldCharType="begin"/>
      </w:r>
      <w:r>
        <w:rPr>
          <w:rFonts w:ascii="Times New Roman" w:hAnsi="Times New Roman" w:eastAsia="楷体_GB2312"/>
          <w:sz w:val="24"/>
        </w:rPr>
        <w:instrText xml:space="preserve"> REF _Ref170202741 \r \h </w:instrText>
      </w:r>
      <w:r>
        <w:rPr>
          <w:rFonts w:ascii="Times New Roman" w:hAnsi="Times New Roman" w:eastAsia="楷体_GB2312"/>
          <w:sz w:val="24"/>
        </w:rPr>
        <w:fldChar w:fldCharType="separate"/>
      </w:r>
      <w:r>
        <w:rPr>
          <w:rFonts w:ascii="Times New Roman" w:hAnsi="Times New Roman" w:eastAsia="楷体_GB2312"/>
          <w:sz w:val="24"/>
        </w:rPr>
        <w:t>(3)</w:t>
      </w:r>
      <w:r>
        <w:rPr>
          <w:rFonts w:ascii="Times New Roman" w:hAnsi="Times New Roman" w:eastAsia="楷体_GB2312"/>
          <w:sz w:val="24"/>
        </w:rPr>
        <w:fldChar w:fldCharType="end"/>
      </w:r>
      <w:r>
        <w:rPr>
          <w:rFonts w:ascii="Times New Roman" w:hAnsi="Times New Roman" w:eastAsia="楷体_GB2312"/>
          <w:sz w:val="24"/>
        </w:rPr>
        <w:t>项以外的所差金额应按以下顺序在下一期支付）：</w:t>
      </w:r>
      <w:bookmarkEnd w:id="684"/>
    </w:p>
    <w:p w14:paraId="72074E43">
      <w:pPr>
        <w:numPr>
          <w:ilvl w:val="0"/>
          <w:numId w:val="30"/>
        </w:numPr>
        <w:spacing w:before="156" w:beforeLines="50" w:after="156" w:afterLines="50" w:line="360" w:lineRule="auto"/>
        <w:ind w:left="2127"/>
        <w:rPr>
          <w:rFonts w:ascii="Times New Roman" w:hAnsi="Times New Roman" w:eastAsia="楷体_GB2312"/>
          <w:sz w:val="24"/>
        </w:rPr>
      </w:pPr>
      <w:bookmarkStart w:id="685" w:name="_Ref146342379"/>
      <w:r>
        <w:rPr>
          <w:rFonts w:ascii="Times New Roman" w:hAnsi="Times New Roman" w:eastAsia="楷体_GB2312"/>
          <w:sz w:val="24"/>
        </w:rPr>
        <w:t>将下一个“支付日”应支付的“优先A级资产支持证券”的利息转至“支付代理机构”指定的资金账户；</w:t>
      </w:r>
      <w:bookmarkEnd w:id="685"/>
    </w:p>
    <w:p w14:paraId="1D524952">
      <w:pPr>
        <w:numPr>
          <w:ilvl w:val="0"/>
          <w:numId w:val="30"/>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将下一个“支付日”应支付的“优先B级资产支持证券”的利息转至“支付代理机构”指定的资金账户；</w:t>
      </w:r>
    </w:p>
    <w:p w14:paraId="78D38542">
      <w:pPr>
        <w:numPr>
          <w:ilvl w:val="0"/>
          <w:numId w:val="30"/>
        </w:numPr>
        <w:spacing w:before="156" w:beforeLines="50" w:after="156" w:afterLines="50" w:line="360" w:lineRule="auto"/>
        <w:ind w:left="2127"/>
        <w:rPr>
          <w:rFonts w:ascii="Times New Roman" w:hAnsi="Times New Roman" w:eastAsia="楷体_GB2312"/>
          <w:sz w:val="24"/>
        </w:rPr>
      </w:pPr>
      <w:bookmarkStart w:id="686" w:name="_Ref167250616"/>
      <w:bookmarkStart w:id="687" w:name="_Ref170202741"/>
      <w:r>
        <w:rPr>
          <w:rFonts w:ascii="Times New Roman" w:hAnsi="Times New Roman" w:eastAsia="楷体_GB2312"/>
          <w:sz w:val="24"/>
        </w:rPr>
        <w:t>将当个“计息期间”按不超过【】%/年的收益率计算的“次级资产支持证券”的期间收益转至“支付代理机构”指定的资金账户。</w:t>
      </w:r>
      <w:bookmarkEnd w:id="686"/>
      <w:bookmarkEnd w:id="687"/>
    </w:p>
    <w:p w14:paraId="65AC3733">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bookmarkStart w:id="688" w:name="_Ref146336208"/>
      <w:r>
        <w:rPr>
          <w:rFonts w:ascii="Times New Roman" w:hAnsi="Times New Roman" w:eastAsia="楷体_GB2312"/>
          <w:sz w:val="24"/>
        </w:rPr>
        <w:t>“违约事件”发生以前，“受托人”应向“资金保管机构”发出“划款指令”，指令“资金保管机构”于每个“支付日”的前【】个“工作日”【</w:t>
      </w:r>
      <w:r>
        <w:rPr>
          <w:rFonts w:hint="eastAsia" w:ascii="Times New Roman" w:hAnsi="Times New Roman" w:eastAsia="楷体_GB2312"/>
          <w:i/>
          <w:iCs/>
          <w:sz w:val="24"/>
        </w:rPr>
        <w:t>具体时点</w:t>
      </w:r>
      <w:r>
        <w:rPr>
          <w:rFonts w:ascii="Times New Roman" w:hAnsi="Times New Roman" w:eastAsia="楷体_GB2312"/>
          <w:sz w:val="24"/>
        </w:rPr>
        <w:t>】前，将“信托分配日”转入“信托分配（证券）账户”项下的本金金额按以下顺序进行支付（如不足以支付，同顺序的各项应受偿金额按比例支付，且所差金额应按以下顺序在下一期支付）：</w:t>
      </w:r>
      <w:bookmarkEnd w:id="688"/>
    </w:p>
    <w:p w14:paraId="1ACE940B">
      <w:pPr>
        <w:numPr>
          <w:ilvl w:val="0"/>
          <w:numId w:val="31"/>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转入“支付代理机构”指定的资金账户一定金额，用以同顺序偿还“优先A级资产支持证券”的本金，直至所有“优先A级资产支持证券”的“未偿本金余额”为零；</w:t>
      </w:r>
    </w:p>
    <w:p w14:paraId="02122EC9">
      <w:pPr>
        <w:numPr>
          <w:ilvl w:val="0"/>
          <w:numId w:val="31"/>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转入“支付代理机构”指定的资金账户一定金额，用以同顺序偿还“优先B级资产支持证券”的本金，直至所有“优先B级资产支持证券”的“未偿本金余额”为零；</w:t>
      </w:r>
    </w:p>
    <w:p w14:paraId="0E997EC2">
      <w:pPr>
        <w:numPr>
          <w:ilvl w:val="0"/>
          <w:numId w:val="31"/>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转入“支付代理机构”指定的资金账户一定金额，用以偿还“次级资产支持证券”的本金，直至所有“次级资产支持证券”的“未偿本金余额”为零；</w:t>
      </w:r>
    </w:p>
    <w:p w14:paraId="31A092A0">
      <w:pPr>
        <w:numPr>
          <w:ilvl w:val="0"/>
          <w:numId w:val="31"/>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全部余额作为“次级资产支持证券”的收益，转入“支付代理机构”指定的资金账户。</w:t>
      </w:r>
    </w:p>
    <w:p w14:paraId="7825CCCD">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“违约事件”发生时或之后，“受托人”应当向“资金保管机构”发出“划款指令”，指令“资金保管机构”于每个“支付日”的前【】个“工作日”【</w:t>
      </w:r>
      <w:r>
        <w:rPr>
          <w:rFonts w:hint="eastAsia" w:ascii="Times New Roman" w:hAnsi="Times New Roman" w:eastAsia="楷体_GB2312"/>
          <w:i/>
          <w:iCs/>
          <w:sz w:val="24"/>
        </w:rPr>
        <w:t>具体时点</w:t>
      </w:r>
      <w:r>
        <w:rPr>
          <w:rFonts w:ascii="Times New Roman" w:hAnsi="Times New Roman" w:eastAsia="楷体_GB2312"/>
          <w:sz w:val="24"/>
        </w:rPr>
        <w:t>】前，将“信托分配日”转入“信托分配（证券）账户”项下利息和本金的金额按以下顺序进行支付（如不足以支付，同顺序的各项应受偿金额按比例支付，且所差金额应按以下顺序在下一期支付）：</w:t>
      </w:r>
    </w:p>
    <w:p w14:paraId="5D2EDC04">
      <w:pPr>
        <w:numPr>
          <w:ilvl w:val="0"/>
          <w:numId w:val="32"/>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将下一个“支付日”应支付的“优先A级资产支持证券”的利息（包括以往各个“计息期间”未付的利息）转至“支付代理机构”指定的资金账户；</w:t>
      </w:r>
    </w:p>
    <w:p w14:paraId="69BB75EB">
      <w:pPr>
        <w:numPr>
          <w:ilvl w:val="0"/>
          <w:numId w:val="32"/>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转入“支付代理机构”指定的资金账户一定金额，用以同顺序偿还“优先A级资产支持证券”的本金，直至所有“优先A级资产支持证券”的“未偿本金余额”为零；</w:t>
      </w:r>
    </w:p>
    <w:p w14:paraId="57A7AADC">
      <w:pPr>
        <w:numPr>
          <w:ilvl w:val="0"/>
          <w:numId w:val="32"/>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将下一个“支付日”应支付的“优先B级资产支持证券”的利息（包括以往各个“计息期间”未付的利息）转至“支付代理机构”指定的资金账户；</w:t>
      </w:r>
    </w:p>
    <w:p w14:paraId="5652A8BD">
      <w:pPr>
        <w:numPr>
          <w:ilvl w:val="0"/>
          <w:numId w:val="32"/>
        </w:numPr>
        <w:spacing w:before="156" w:beforeLines="50" w:after="156" w:afterLines="50" w:line="360" w:lineRule="auto"/>
        <w:ind w:left="2127"/>
        <w:rPr>
          <w:rFonts w:ascii="Times New Roman" w:hAnsi="Times New Roman" w:eastAsia="楷体_GB2312"/>
          <w:sz w:val="24"/>
        </w:rPr>
      </w:pPr>
      <w:r>
        <w:rPr>
          <w:rStyle w:val="79"/>
          <w:rFonts w:hint="eastAsia"/>
          <w:color w:val="auto"/>
          <w:w w:val="0"/>
          <w:u w:val="none"/>
        </w:rPr>
        <w:t>转入</w:t>
      </w:r>
      <w:r>
        <w:rPr>
          <w:rFonts w:ascii="Times New Roman" w:hAnsi="Times New Roman" w:eastAsia="楷体_GB2312"/>
          <w:sz w:val="24"/>
        </w:rPr>
        <w:t>“支付代理机构”指定的资金账户一定金额，用以同顺序偿还“优先B级资产支持证券”的本金，直至所有“优先B级资产支持证券”的“未偿本金余额”为零；</w:t>
      </w:r>
    </w:p>
    <w:p w14:paraId="3C204D4D">
      <w:pPr>
        <w:numPr>
          <w:ilvl w:val="0"/>
          <w:numId w:val="32"/>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转入“支付代理机构”指定的资金账户一定金额，用以偿还“次级资产支持证券”的本金，直至所有“次级资产支持证券”的“未偿本金余额”为零；</w:t>
      </w:r>
    </w:p>
    <w:p w14:paraId="3E42595E">
      <w:pPr>
        <w:numPr>
          <w:ilvl w:val="0"/>
          <w:numId w:val="32"/>
        </w:numPr>
        <w:spacing w:before="156" w:beforeLines="50" w:after="156" w:afterLines="50" w:line="360" w:lineRule="auto"/>
        <w:ind w:left="2127"/>
        <w:rPr>
          <w:rFonts w:ascii="Times New Roman" w:hAnsi="Times New Roman" w:eastAsia="楷体_GB2312"/>
          <w:sz w:val="24"/>
        </w:rPr>
      </w:pPr>
      <w:r>
        <w:rPr>
          <w:rFonts w:hint="eastAsia" w:ascii="Times New Roman" w:hAnsi="Times New Roman" w:eastAsia="楷体_GB2312"/>
          <w:w w:val="0"/>
          <w:sz w:val="24"/>
        </w:rPr>
        <w:t>全部</w:t>
      </w:r>
      <w:r>
        <w:rPr>
          <w:rFonts w:ascii="Times New Roman" w:hAnsi="Times New Roman" w:eastAsia="楷体_GB2312"/>
          <w:sz w:val="24"/>
        </w:rPr>
        <w:t>余额作为“次级资产支持证券”的收益，转入“支付代理机构”指定的资金账户。</w:t>
      </w:r>
    </w:p>
    <w:p w14:paraId="126B2F30">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“信托终止日”后，“受托人”应当向“资金保管机构”发出“划款指令”，指令“资金保管机构”于每个“支付日”的前【】个“工作日”【</w:t>
      </w:r>
      <w:r>
        <w:rPr>
          <w:rFonts w:hint="eastAsia" w:ascii="Times New Roman" w:hAnsi="Times New Roman" w:eastAsia="楷体_GB2312"/>
          <w:i/>
          <w:iCs/>
          <w:sz w:val="24"/>
        </w:rPr>
        <w:t>具体时点</w:t>
      </w:r>
      <w:r>
        <w:rPr>
          <w:rFonts w:ascii="Times New Roman" w:hAnsi="Times New Roman" w:eastAsia="楷体_GB2312"/>
          <w:sz w:val="24"/>
        </w:rPr>
        <w:t>】前，将“信托分配日”转入“信托分配（证券）账户”项下利息和本金的金额按以下顺序进行支付（如不足以支付，同顺序的各项应受偿金额按比例支付）：</w:t>
      </w:r>
    </w:p>
    <w:p w14:paraId="34FDF538">
      <w:pPr>
        <w:numPr>
          <w:ilvl w:val="0"/>
          <w:numId w:val="33"/>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将所有应付未付的“优先A级资产支持证券”的利息（包括以往各个“计息期间”未付的利息）转至“支付代理机构”指定的资金账户；</w:t>
      </w:r>
    </w:p>
    <w:p w14:paraId="0DB52257">
      <w:pPr>
        <w:numPr>
          <w:ilvl w:val="0"/>
          <w:numId w:val="33"/>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转入“支付代理机构”指定的资金账户一定金额，用以同顺序偿还“优先A级资产支持证券”的本金，直至所有“优先A级资产支持证券”的“未偿本金余额”为零；</w:t>
      </w:r>
    </w:p>
    <w:p w14:paraId="78F31189">
      <w:pPr>
        <w:numPr>
          <w:ilvl w:val="0"/>
          <w:numId w:val="33"/>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将所有应付未付的“优先B级资产支持证券”的利息（包括以往各个“计息期间”未付的利息）转至“支付代理机构”指定的资金账户；</w:t>
      </w:r>
    </w:p>
    <w:p w14:paraId="1FF49BE0">
      <w:pPr>
        <w:numPr>
          <w:ilvl w:val="0"/>
          <w:numId w:val="33"/>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转入“支付代理机构”指定的资金账户一定金额，用以同顺序偿还“优先B级资产支持证券”的本金，直至所有“优先B级资产支持证券”的“未偿本金余额”为零；</w:t>
      </w:r>
    </w:p>
    <w:p w14:paraId="060C9175">
      <w:pPr>
        <w:numPr>
          <w:ilvl w:val="0"/>
          <w:numId w:val="33"/>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转入“支付代理机构”指定的资金账户一定金额，用以偿还“次级资产支持证券”的本金，直至所有“次级资产支持证券”的“未偿本金余额”为零；</w:t>
      </w:r>
    </w:p>
    <w:p w14:paraId="2B34E802">
      <w:pPr>
        <w:numPr>
          <w:ilvl w:val="0"/>
          <w:numId w:val="33"/>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全部余额作为“次级资产支持证券”的收益，转入“支付代理机构”指定的资金账户。</w:t>
      </w:r>
    </w:p>
    <w:p w14:paraId="27B5588A">
      <w:pPr>
        <w:numPr>
          <w:ilvl w:val="1"/>
          <w:numId w:val="6"/>
        </w:numPr>
        <w:spacing w:before="156" w:beforeLines="50" w:after="156" w:afterLines="50" w:line="360" w:lineRule="auto"/>
        <w:outlineLvl w:val="1"/>
        <w:rPr>
          <w:rFonts w:ascii="Times New Roman" w:hAnsi="Times New Roman" w:eastAsia="楷体_GB2312"/>
          <w:b/>
          <w:sz w:val="24"/>
        </w:rPr>
      </w:pPr>
      <w:bookmarkStart w:id="689" w:name="_Ref146341242"/>
      <w:r>
        <w:rPr>
          <w:rFonts w:ascii="Times New Roman" w:hAnsi="Times New Roman" w:eastAsia="楷体_GB2312"/>
          <w:b/>
          <w:sz w:val="24"/>
        </w:rPr>
        <w:t>信托分配（费用和开支）账户资金的运用</w:t>
      </w:r>
      <w:bookmarkEnd w:id="689"/>
    </w:p>
    <w:p w14:paraId="7312685E">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违约事件”发生以前，“受托人”应向“资金保管机构”发出“划款指令”，指令“资金保管机构”于下一个“支付日”将上一个“信托分配日”转入“信托分配（费用和开支）账户”中的金额按如下顺序支付（如不足以支付，同顺序的各项应受偿金额按比例支付，且所差金额应按以下顺序在下一期支付）：</w:t>
      </w:r>
    </w:p>
    <w:p w14:paraId="243ACDDE">
      <w:pPr>
        <w:numPr>
          <w:ilvl w:val="0"/>
          <w:numId w:val="34"/>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支付“受托机构”垫付的发行登记服务费（如有）；</w:t>
      </w:r>
    </w:p>
    <w:p w14:paraId="7EF890E4">
      <w:pPr>
        <w:numPr>
          <w:ilvl w:val="0"/>
          <w:numId w:val="34"/>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同顺序支付“受托人”垫付的为“资产支持证券”发行之目的发生的资金汇划费、信托公告费、信息披露费等费用（如有）、“承销报酬”、委托“评级机构”对“优先级资产支持证券”进行初始评级（不含跟踪评级）所发生的费用、委托“法律顾问”和“会计顾问</w:t>
      </w:r>
      <w:r>
        <w:rPr>
          <w:rFonts w:hint="eastAsia" w:ascii="Times New Roman" w:hAnsi="Times New Roman" w:eastAsia="楷体_GB2312"/>
          <w:sz w:val="24"/>
        </w:rPr>
        <w:t>/税务</w:t>
      </w:r>
      <w:r>
        <w:rPr>
          <w:rFonts w:ascii="Times New Roman" w:hAnsi="Times New Roman" w:eastAsia="楷体_GB2312"/>
          <w:sz w:val="24"/>
        </w:rPr>
        <w:t>顾问”进行尽职调查或执行商定程序并出具专业意见所应付的报酬；</w:t>
      </w:r>
    </w:p>
    <w:p w14:paraId="20DB7377">
      <w:pPr>
        <w:numPr>
          <w:ilvl w:val="0"/>
          <w:numId w:val="34"/>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同顺序支付以下当期需支付的报酬和费用：(a)“支付代理机构”/“登记托管机构”的报酬、(b)“受托人”的信托报酬、(c)“资金保管机构”的报酬、(d)“评级机构”提供跟踪评级服务的报酬（如有）、(e)“审计师”的报酬、(f)“后备贷款服务机构”（如有）的报酬、(g)</w:t>
      </w:r>
      <w:r>
        <w:rPr>
          <w:rFonts w:ascii="Times New Roman" w:hAnsi="Times New Roman" w:eastAsia="楷体_GB2312"/>
          <w:color w:val="000000"/>
          <w:sz w:val="24"/>
        </w:rPr>
        <w:t>“受托人”因“清仓回购”而聘请第三方专业机构对剩余“资产池”进行评估所发生的费用、</w:t>
      </w:r>
      <w:r>
        <w:rPr>
          <w:rFonts w:ascii="Times New Roman" w:hAnsi="Times New Roman" w:eastAsia="楷体_GB2312"/>
          <w:sz w:val="24"/>
        </w:rPr>
        <w:t>(h)上述相关主体和“贷款服务机构”各自可报销的不超过“优先支出上限”的“费用支出”、(</w:t>
      </w:r>
      <w:r>
        <w:rPr>
          <w:rFonts w:hint="eastAsia" w:ascii="Times New Roman" w:hAnsi="Times New Roman" w:eastAsia="楷体_GB2312"/>
          <w:sz w:val="24"/>
        </w:rPr>
        <w:t>i</w:t>
      </w:r>
      <w:r>
        <w:rPr>
          <w:rFonts w:ascii="Times New Roman" w:hAnsi="Times New Roman" w:eastAsia="楷体_GB2312"/>
          <w:sz w:val="24"/>
        </w:rPr>
        <w:t>)“受托人”按照本合同的约定以固有财产垫付的代为发送“权利完善通知”所发生的费用（如有）；</w:t>
      </w:r>
    </w:p>
    <w:p w14:paraId="1DE960CB">
      <w:pPr>
        <w:numPr>
          <w:ilvl w:val="0"/>
          <w:numId w:val="34"/>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向“贷款服务机构”支付当期应支付的“贷款服务机构”固定报酬；</w:t>
      </w:r>
    </w:p>
    <w:p w14:paraId="1D3306F1">
      <w:pPr>
        <w:numPr>
          <w:ilvl w:val="0"/>
          <w:numId w:val="34"/>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同顺序支付“受托人”、“贷款服务机构”、“资金保管机构”、“评级机构”（如有）、“审计师”（如有）以及“后备贷款服务机构”（如有）的超过“优先支出上限”的各自可报销的实际“费用支出”；</w:t>
      </w:r>
    </w:p>
    <w:p w14:paraId="499E120F">
      <w:pPr>
        <w:numPr>
          <w:ilvl w:val="0"/>
          <w:numId w:val="34"/>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全部“次级资产支持证券”的累计收益超过人民币【】元后，向“贷款服务机构”支付超过部分的【】%作为“贷款服务机构”的浮动报酬。</w:t>
      </w:r>
    </w:p>
    <w:p w14:paraId="5027A05E">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违约事件”发生时和之后，“受托人”应当向“资金保管机构”发出“划款指令”，指令“资金保管机构”于下一个“支付日”将上一个“信托分配日”转入“信托分配（费用和开支）账户”中的金额按如下顺序支付（如不足以支付，同顺序的各项应受偿金额按比例支付，且所差金额应按以下顺序在下一期支付）：</w:t>
      </w:r>
    </w:p>
    <w:p w14:paraId="1B40049A">
      <w:pPr>
        <w:numPr>
          <w:ilvl w:val="0"/>
          <w:numId w:val="35"/>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支付“受托机构”垫付的发行登记服务费（如有）；</w:t>
      </w:r>
    </w:p>
    <w:p w14:paraId="01FD423E">
      <w:pPr>
        <w:numPr>
          <w:ilvl w:val="0"/>
          <w:numId w:val="35"/>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支付下述累计应付未付的报酬和费用，直至该等报酬和费用均清偿完毕：“受托人”垫付的为“资产支持证券”发行之目的发生的资金汇划费、信托公告费、信息披露费等费用（如有）、“承销报酬”、委托“评级机构”对“优先级资产支持证券”进行初始评级（不含跟踪评级）所发生的费用、委托“法律顾问”和“会计顾问</w:t>
      </w:r>
      <w:r>
        <w:rPr>
          <w:rFonts w:hint="eastAsia" w:ascii="Times New Roman" w:hAnsi="Times New Roman" w:eastAsia="楷体_GB2312"/>
          <w:sz w:val="24"/>
        </w:rPr>
        <w:t>/税务</w:t>
      </w:r>
      <w:r>
        <w:rPr>
          <w:rFonts w:ascii="Times New Roman" w:hAnsi="Times New Roman" w:eastAsia="楷体_GB2312"/>
          <w:sz w:val="24"/>
        </w:rPr>
        <w:t>顾问”进行尽职调查或执行商定程序并出具专业意见所应付的报酬；</w:t>
      </w:r>
    </w:p>
    <w:p w14:paraId="6BE30423">
      <w:pPr>
        <w:numPr>
          <w:ilvl w:val="0"/>
          <w:numId w:val="35"/>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同顺序支付以下当期需支付的报酬和费用：(a)“支付代理机构”/“登记托管机构”的报酬、(b)“受托人”的信托报酬、(c)“资金保管机构”的报酬、(d)“评级机构”提供跟踪评级服务的报酬（如有）、(e)“审计师”的报酬、(f)“后备贷款服务机构”（如有）的报酬、(g)</w:t>
      </w:r>
      <w:r>
        <w:rPr>
          <w:rFonts w:ascii="Times New Roman" w:hAnsi="Times New Roman" w:eastAsia="楷体_GB2312"/>
          <w:color w:val="000000"/>
          <w:sz w:val="24"/>
        </w:rPr>
        <w:t>“受托人”因“清仓回购”而聘请第三方专业机构对剩余“资产池”进行评估所发生的费用、</w:t>
      </w:r>
      <w:r>
        <w:rPr>
          <w:rFonts w:ascii="Times New Roman" w:hAnsi="Times New Roman" w:eastAsia="楷体_GB2312"/>
          <w:sz w:val="24"/>
        </w:rPr>
        <w:t>(h)上述相关主体和“贷款服务机构”各自可报销的不超过“优先支出上限”的“费用支出”、(</w:t>
      </w:r>
      <w:r>
        <w:rPr>
          <w:rFonts w:hint="eastAsia" w:ascii="Times New Roman" w:hAnsi="Times New Roman" w:eastAsia="楷体_GB2312"/>
          <w:sz w:val="24"/>
        </w:rPr>
        <w:t>i</w:t>
      </w:r>
      <w:r>
        <w:rPr>
          <w:rFonts w:ascii="Times New Roman" w:hAnsi="Times New Roman" w:eastAsia="楷体_GB2312"/>
          <w:sz w:val="24"/>
        </w:rPr>
        <w:t>)“受托人”按照本合同的约定以固有财产垫付的代为发送“权利完善通知”所发生的费用（如有）；</w:t>
      </w:r>
    </w:p>
    <w:p w14:paraId="7F2294B8">
      <w:pPr>
        <w:numPr>
          <w:ilvl w:val="0"/>
          <w:numId w:val="35"/>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向“贷款服务机构”支付当期应支付的“贷款服务机构”固定报酬；</w:t>
      </w:r>
    </w:p>
    <w:p w14:paraId="6CB05E3D">
      <w:pPr>
        <w:numPr>
          <w:ilvl w:val="0"/>
          <w:numId w:val="35"/>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全部“次级资产支持证券”的累计收益超过人民币【】元后，向“贷款服务机构”支付超过部分的【】%作为“贷款服务机构”的浮动报酬。</w:t>
      </w:r>
    </w:p>
    <w:p w14:paraId="451C2CB1">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信托终止日”后，“受托人”应当向“资金保管机构”发出“划款指令”，指令“资金保管机构”于下一个“支付日”将上一个“信托分配日”转入“信托分配（费用和开支）账户”中的金额按如下顺序支付（如不足以支付，同顺序的各项应受偿金额按比例支付）：</w:t>
      </w:r>
    </w:p>
    <w:p w14:paraId="64EB56BE">
      <w:pPr>
        <w:numPr>
          <w:ilvl w:val="0"/>
          <w:numId w:val="36"/>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支付信托清算期间所发生的与“信托财产”清算相关的合理费用；</w:t>
      </w:r>
    </w:p>
    <w:p w14:paraId="336BAC10">
      <w:pPr>
        <w:numPr>
          <w:ilvl w:val="0"/>
          <w:numId w:val="36"/>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支付应付给“支付代理机构”/“登记托管机构”的报酬以及“受托机构”垫付的发行登记服务费（如有）；</w:t>
      </w:r>
    </w:p>
    <w:p w14:paraId="44B4B103">
      <w:pPr>
        <w:numPr>
          <w:ilvl w:val="0"/>
          <w:numId w:val="36"/>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支付下述累计应付未付的报酬和费用，直至该等报酬和费用均清偿完毕：“受托人”垫付的为“资产支持证券”发行之目的发生的资金汇划费、信托公告费、信息披露费等费用（如有）、“承销报酬”、委托“评级机构”对“优先级资产支持证券”进行初始评级（不含跟踪评级）所发生的费用、委托“法律顾问”和“会计顾问</w:t>
      </w:r>
      <w:r>
        <w:rPr>
          <w:rFonts w:hint="eastAsia" w:ascii="Times New Roman" w:hAnsi="Times New Roman" w:eastAsia="楷体_GB2312"/>
          <w:sz w:val="24"/>
        </w:rPr>
        <w:t>/税务</w:t>
      </w:r>
      <w:r>
        <w:rPr>
          <w:rFonts w:ascii="Times New Roman" w:hAnsi="Times New Roman" w:eastAsia="楷体_GB2312"/>
          <w:sz w:val="24"/>
        </w:rPr>
        <w:t>顾问”进行尽职调查或执行商定程序并出具专业意见所应付的报酬；</w:t>
      </w:r>
    </w:p>
    <w:p w14:paraId="62F799B4">
      <w:pPr>
        <w:numPr>
          <w:ilvl w:val="0"/>
          <w:numId w:val="36"/>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同顺序支付：(a)“受托人”的报酬、(b)“资金保管机构”的报酬、(c)“评级机构”提供跟踪评级服务的报酬（如有）、(d)“审计师”的报酬、(e)“后备贷款服务机构”（如有）的报酬、(f)</w:t>
      </w:r>
      <w:r>
        <w:rPr>
          <w:rFonts w:ascii="Times New Roman" w:hAnsi="Times New Roman" w:eastAsia="楷体_GB2312"/>
          <w:color w:val="000000"/>
          <w:sz w:val="24"/>
        </w:rPr>
        <w:t>“受托人”因“清仓回购”而聘请第三方专业机构对剩余“资产池”进行评估所发生的费用、</w:t>
      </w:r>
      <w:r>
        <w:rPr>
          <w:rFonts w:ascii="Times New Roman" w:hAnsi="Times New Roman" w:eastAsia="楷体_GB2312"/>
          <w:sz w:val="24"/>
        </w:rPr>
        <w:t>(</w:t>
      </w:r>
      <w:r>
        <w:rPr>
          <w:rFonts w:hint="eastAsia" w:ascii="Times New Roman" w:hAnsi="Times New Roman" w:eastAsia="楷体_GB2312"/>
          <w:sz w:val="24"/>
        </w:rPr>
        <w:t>g</w:t>
      </w:r>
      <w:r>
        <w:rPr>
          <w:rFonts w:ascii="Times New Roman" w:hAnsi="Times New Roman" w:eastAsia="楷体_GB2312"/>
          <w:sz w:val="24"/>
        </w:rPr>
        <w:t>)上述相关主体和“贷款服务机构”各自可报销的实际“费用支出”（包括以往各期未付金额）、(</w:t>
      </w:r>
      <w:r>
        <w:rPr>
          <w:rFonts w:hint="eastAsia" w:ascii="Times New Roman" w:hAnsi="Times New Roman" w:eastAsia="楷体_GB2312"/>
          <w:sz w:val="24"/>
        </w:rPr>
        <w:t>h</w:t>
      </w:r>
      <w:r>
        <w:rPr>
          <w:rFonts w:ascii="Times New Roman" w:hAnsi="Times New Roman" w:eastAsia="楷体_GB2312"/>
          <w:sz w:val="24"/>
        </w:rPr>
        <w:t>)“受托人”按照本合同的约定以固有财产垫付的代为发送“权利完善通知”所发生的费用（如有）</w:t>
      </w:r>
      <w:r>
        <w:rPr>
          <w:rFonts w:hint="eastAsia" w:ascii="Times New Roman" w:hAnsi="Times New Roman" w:eastAsia="楷体_GB2312"/>
          <w:sz w:val="24"/>
        </w:rPr>
        <w:t>；</w:t>
      </w:r>
    </w:p>
    <w:p w14:paraId="4FD07185">
      <w:pPr>
        <w:numPr>
          <w:ilvl w:val="0"/>
          <w:numId w:val="36"/>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向“贷款服务机构”支付应付未付的“贷款服务机构”的固定报酬总额（包括以往各期未付金额）；</w:t>
      </w:r>
    </w:p>
    <w:p w14:paraId="0A9FE113">
      <w:pPr>
        <w:numPr>
          <w:ilvl w:val="0"/>
          <w:numId w:val="36"/>
        </w:numPr>
        <w:spacing w:before="156" w:beforeLines="50" w:after="156" w:afterLines="50" w:line="360" w:lineRule="auto"/>
        <w:ind w:left="2127"/>
        <w:rPr>
          <w:rFonts w:ascii="Times New Roman" w:hAnsi="Times New Roman" w:eastAsia="楷体_GB2312"/>
          <w:sz w:val="24"/>
        </w:rPr>
      </w:pPr>
      <w:r>
        <w:rPr>
          <w:rFonts w:ascii="Times New Roman" w:hAnsi="Times New Roman" w:eastAsia="楷体_GB2312"/>
          <w:sz w:val="24"/>
        </w:rPr>
        <w:t>全部“次级资产支持证券”的累计收益超过人民币【】元后，向“贷款服务机构”支付超过部分的【】%作为“贷款服务机构”的浮动报酬。</w:t>
      </w:r>
    </w:p>
    <w:p w14:paraId="328A3CA4">
      <w:pPr>
        <w:numPr>
          <w:ilvl w:val="0"/>
          <w:numId w:val="6"/>
        </w:numPr>
        <w:spacing w:before="156" w:beforeLines="50" w:after="156" w:afterLines="50" w:line="360" w:lineRule="auto"/>
        <w:outlineLvl w:val="0"/>
        <w:rPr>
          <w:rFonts w:ascii="Times New Roman" w:hAnsi="Times New Roman" w:eastAsia="楷体_GB2312"/>
          <w:b/>
          <w:bCs/>
          <w:sz w:val="24"/>
        </w:rPr>
      </w:pPr>
      <w:bookmarkStart w:id="690" w:name="_Toc220499914"/>
      <w:bookmarkEnd w:id="690"/>
      <w:bookmarkStart w:id="691" w:name="_Toc227694332"/>
      <w:r>
        <w:rPr>
          <w:rFonts w:ascii="Times New Roman" w:hAnsi="Times New Roman" w:eastAsia="楷体_GB2312"/>
          <w:b/>
          <w:bCs/>
          <w:sz w:val="24"/>
        </w:rPr>
        <w:t>信托财产的</w:t>
      </w:r>
      <w:r>
        <w:rPr>
          <w:rFonts w:ascii="Times New Roman" w:hAnsi="Times New Roman" w:eastAsia="楷体_GB2312"/>
          <w:b/>
          <w:sz w:val="24"/>
        </w:rPr>
        <w:t>管理与保管</w:t>
      </w:r>
      <w:bookmarkEnd w:id="691"/>
    </w:p>
    <w:p w14:paraId="7C4535E4">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资产的管理</w:t>
      </w:r>
    </w:p>
    <w:p w14:paraId="063175A0">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受托人”应委托“贷款服务机构”提供与“资产”相关的“服务”。“资产”管理的具体事宜，由“受托人”与“贷款服务机构”另行签署“《服务合同》”予以约定。在发生“贷款服务机构解任事件”时，应更换“贷款服务机构”。更换“贷款服务机构”的具体程序由“受托人”和“贷款服务机构”在“《服务合同》”中具体约定。</w:t>
      </w:r>
    </w:p>
    <w:p w14:paraId="327A301A">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bookmarkStart w:id="692" w:name="_Ref47872335"/>
      <w:bookmarkStart w:id="693" w:name="_Ref458955213"/>
      <w:bookmarkStart w:id="694" w:name="_Ref92193007"/>
      <w:r>
        <w:rPr>
          <w:rFonts w:ascii="Times New Roman" w:hAnsi="Times New Roman" w:eastAsia="楷体_GB2312"/>
          <w:sz w:val="24"/>
        </w:rPr>
        <w:t>如“优先级资产支持证券”本金全部清偿完毕，且届时“贷款服务机构”同时为“次级资产支持证券持有人”，则“贷款服务机构”可在“优先级资产支持证券”本金全部清偿完毕之日起【】日内提交针对全部或部分“资产”的“资产处置方案”（不包括“清仓回购”，下同），“受托人”可根据具体情况选择以发送意见征求函或现场讨论或通讯讨论等方式向【全体“次级资产支持证券持有人”】征求意见。上述“资产处置方案”经全部“次级资产支持证券持有人”书面一致同意后方可执行。【全部“次级资产支持证券持有人”】应在“优先级资产支持证券”本金全部清偿完毕之日起【】日内对是否批准“贷款服务机构”所提“资产处置方案”作出决定。</w:t>
      </w:r>
      <w:bookmarkEnd w:id="692"/>
      <w:bookmarkEnd w:id="693"/>
    </w:p>
    <w:p w14:paraId="14941909">
      <w:pPr>
        <w:tabs>
          <w:tab w:val="left" w:pos="900"/>
        </w:tabs>
        <w:spacing w:before="156" w:beforeLines="50" w:after="156" w:afterLines="50" w:line="360" w:lineRule="auto"/>
        <w:ind w:left="1620"/>
        <w:rPr>
          <w:rFonts w:ascii="Times New Roman" w:hAnsi="Times New Roman" w:eastAsia="楷体_GB2312"/>
          <w:b/>
          <w:bCs/>
          <w:i/>
          <w:iCs/>
          <w:color w:val="FF0000"/>
          <w:sz w:val="24"/>
        </w:rPr>
      </w:pPr>
      <w:r>
        <w:rPr>
          <w:rFonts w:ascii="Times New Roman" w:hAnsi="Times New Roman" w:eastAsia="楷体_GB2312"/>
          <w:b/>
          <w:bCs/>
          <w:i/>
          <w:iCs/>
          <w:color w:val="FF0000"/>
          <w:sz w:val="24"/>
        </w:rPr>
        <w:t>【注：征求“资产处置方案”意见的表决权重根据项目的具体安排进行调整。】</w:t>
      </w:r>
      <w:bookmarkEnd w:id="694"/>
    </w:p>
    <w:p w14:paraId="10911B9B">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bookmarkStart w:id="695" w:name="_Ref458957606"/>
      <w:r>
        <w:rPr>
          <w:rFonts w:ascii="Times New Roman" w:hAnsi="Times New Roman" w:eastAsia="楷体_GB2312"/>
          <w:sz w:val="24"/>
        </w:rPr>
        <w:t>如“贷款服务机构”未按照前述第</w:t>
      </w:r>
      <w:r>
        <w:rPr>
          <w:rFonts w:ascii="Times New Roman" w:hAnsi="Times New Roman" w:eastAsia="楷体_GB2312"/>
          <w:sz w:val="24"/>
        </w:rPr>
        <w:fldChar w:fldCharType="begin"/>
      </w:r>
      <w:r>
        <w:rPr>
          <w:rFonts w:ascii="Times New Roman" w:hAnsi="Times New Roman" w:eastAsia="楷体_GB2312"/>
          <w:sz w:val="24"/>
        </w:rPr>
        <w:instrText xml:space="preserve"> REF _Ref47872335 \r \h  \* MERGEFORMAT </w:instrText>
      </w:r>
      <w:r>
        <w:rPr>
          <w:rFonts w:ascii="Times New Roman" w:hAnsi="Times New Roman" w:eastAsia="楷体_GB2312"/>
          <w:sz w:val="24"/>
        </w:rPr>
        <w:fldChar w:fldCharType="separate"/>
      </w:r>
      <w:r>
        <w:rPr>
          <w:rFonts w:ascii="Times New Roman" w:hAnsi="Times New Roman" w:eastAsia="楷体_GB2312"/>
          <w:sz w:val="24"/>
        </w:rPr>
        <w:t>12.1.2</w:t>
      </w:r>
      <w:r>
        <w:rPr>
          <w:rFonts w:ascii="Times New Roman" w:hAnsi="Times New Roman" w:eastAsia="楷体_GB2312"/>
          <w:sz w:val="24"/>
        </w:rPr>
        <w:fldChar w:fldCharType="end"/>
      </w:r>
      <w:r>
        <w:rPr>
          <w:rFonts w:ascii="Times New Roman" w:hAnsi="Times New Roman" w:eastAsia="楷体_GB2312"/>
          <w:sz w:val="24"/>
        </w:rPr>
        <w:t>款提出“资产处置方案”，或该“资产处置方案”未获批准，或该“资产处置方案”执行后仍有剩余“非现金信托财产”，且届时“贷款服务机构”同时为“次级资产支持证券持有人”，任一“次级资产支持证券持有人”有权向“受托人”提议且“受托人”亦有权自行提议对届时剩余全部“信托财产”进行原状分配。“受托人”可根据具体情况选择以发送意见征求函或现场讨论或通讯讨论等方式向全体“次级资产支持证券持有人”征求意见。“次级资产支持证券持有人”应及时（如为书面方式，则应在“受托人”指定的合理时间内）给出反馈意见。全体“次级资产支持证券持有人”就剩余全部“信托财产”的原状分配达成书面一致意见的，“信托”终止，“受托人”应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_Ref350866176 \r \h  \* MERGEFORMAT </w:instrText>
      </w:r>
      <w:r>
        <w:rPr>
          <w:rFonts w:ascii="Times New Roman" w:hAnsi="Times New Roman" w:eastAsia="楷体_GB2312"/>
          <w:sz w:val="24"/>
        </w:rPr>
        <w:fldChar w:fldCharType="separate"/>
      </w:r>
      <w:r>
        <w:rPr>
          <w:rFonts w:ascii="Times New Roman" w:hAnsi="Times New Roman" w:eastAsia="楷体_GB2312"/>
          <w:sz w:val="24"/>
        </w:rPr>
        <w:t>11.7</w:t>
      </w:r>
      <w:r>
        <w:rPr>
          <w:rFonts w:ascii="Times New Roman" w:hAnsi="Times New Roman" w:eastAsia="楷体_GB2312"/>
          <w:sz w:val="24"/>
        </w:rPr>
        <w:fldChar w:fldCharType="end"/>
      </w:r>
      <w:r>
        <w:rPr>
          <w:rFonts w:ascii="Times New Roman" w:hAnsi="Times New Roman" w:eastAsia="楷体_GB2312"/>
          <w:sz w:val="24"/>
        </w:rPr>
        <w:t>款约定的分配顺序及经全体“次级资产支持证券持有人”一致同意的“信托财产”原状分配方案对“信托财产”进行分配。</w:t>
      </w:r>
      <w:bookmarkEnd w:id="695"/>
    </w:p>
    <w:p w14:paraId="29DCB8AA">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bookmarkStart w:id="696" w:name="_Ref47870283"/>
      <w:r>
        <w:rPr>
          <w:rFonts w:ascii="Times New Roman" w:hAnsi="Times New Roman" w:eastAsia="楷体_GB2312"/>
          <w:sz w:val="24"/>
        </w:rPr>
        <w:t>如“贷款服务机构”未按照前述第</w:t>
      </w:r>
      <w:r>
        <w:rPr>
          <w:rFonts w:ascii="Times New Roman" w:hAnsi="Times New Roman" w:eastAsia="楷体_GB2312"/>
          <w:sz w:val="24"/>
        </w:rPr>
        <w:fldChar w:fldCharType="begin"/>
      </w:r>
      <w:r>
        <w:rPr>
          <w:rFonts w:ascii="Times New Roman" w:hAnsi="Times New Roman" w:eastAsia="楷体_GB2312"/>
          <w:sz w:val="24"/>
        </w:rPr>
        <w:instrText xml:space="preserve"> REF _Ref47872335 \r \h  \* MERGEFORMAT </w:instrText>
      </w:r>
      <w:r>
        <w:rPr>
          <w:rFonts w:ascii="Times New Roman" w:hAnsi="Times New Roman" w:eastAsia="楷体_GB2312"/>
          <w:sz w:val="24"/>
        </w:rPr>
        <w:fldChar w:fldCharType="separate"/>
      </w:r>
      <w:r>
        <w:rPr>
          <w:rFonts w:ascii="Times New Roman" w:hAnsi="Times New Roman" w:eastAsia="楷体_GB2312"/>
          <w:sz w:val="24"/>
        </w:rPr>
        <w:t>12.1.2</w:t>
      </w:r>
      <w:r>
        <w:rPr>
          <w:rFonts w:ascii="Times New Roman" w:hAnsi="Times New Roman" w:eastAsia="楷体_GB2312"/>
          <w:sz w:val="24"/>
        </w:rPr>
        <w:fldChar w:fldCharType="end"/>
      </w:r>
      <w:r>
        <w:rPr>
          <w:rFonts w:ascii="Times New Roman" w:hAnsi="Times New Roman" w:eastAsia="楷体_GB2312"/>
          <w:sz w:val="24"/>
        </w:rPr>
        <w:t>款提出“资产处置方案”，或该“资产处置方案”未获批准，或该“资产处置方案”执行后仍有剩余“非现金信托财产”，则“贷款服务机构”或任一“次级资产支持证券持有人”有权向“受托人”提出或“受托人”有权自行提出通过拍卖、向“贷款服务机构”、“次级资产支持证券持有人”或其他方转让等方式对全部“非现金信托财产”进行整体处置的方案（该等处置方案至少应包括处置方式和处置价格等关键要素）。“受托人”收到该等处置方案后或自行提出处置方案的，可根据具体情况选择以发送意见征求函或现场讨论或通讯讨论等方式向全体“次级资产支持证券持有人”征求意见。“次级资产支持证券持有人”应及时（如为书面方式，则应在“受托人”指定的合理时间内）给出反馈意见。“受托人”应按照经全体“次级资产支持证券持有人”达成一致的书面意见对“信托财产”进行处置。</w:t>
      </w:r>
      <w:bookmarkEnd w:id="696"/>
    </w:p>
    <w:p w14:paraId="13A523CF">
      <w:pPr>
        <w:tabs>
          <w:tab w:val="left" w:pos="900"/>
        </w:tabs>
        <w:spacing w:before="156" w:beforeLines="50" w:after="156" w:afterLines="50" w:line="360" w:lineRule="auto"/>
        <w:ind w:left="1620"/>
        <w:rPr>
          <w:rFonts w:ascii="Times New Roman" w:hAnsi="Times New Roman" w:eastAsia="楷体_GB2312"/>
          <w:b/>
          <w:bCs/>
          <w:i/>
          <w:iCs/>
          <w:color w:val="FF0000"/>
          <w:sz w:val="24"/>
        </w:rPr>
      </w:pPr>
      <w:r>
        <w:rPr>
          <w:rFonts w:ascii="Times New Roman" w:hAnsi="Times New Roman" w:eastAsia="楷体_GB2312"/>
          <w:b/>
          <w:bCs/>
          <w:i/>
          <w:iCs/>
          <w:color w:val="FF0000"/>
          <w:sz w:val="24"/>
        </w:rPr>
        <w:t>【注：资产处置方案和原状分配事宜根据具体项目的需要进行调整。】</w:t>
      </w:r>
    </w:p>
    <w:p w14:paraId="415B6BB4">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货币类信托财产的保管</w:t>
      </w:r>
    </w:p>
    <w:p w14:paraId="6B3FB85F">
      <w:pPr>
        <w:spacing w:before="156" w:beforeLines="50" w:after="156" w:afterLines="50" w:line="360" w:lineRule="auto"/>
        <w:ind w:left="867" w:leftChars="413"/>
        <w:rPr>
          <w:rFonts w:ascii="Times New Roman" w:hAnsi="Times New Roman" w:eastAsia="楷体_GB2312"/>
          <w:sz w:val="24"/>
        </w:rPr>
      </w:pPr>
      <w:r>
        <w:rPr>
          <w:rFonts w:ascii="Times New Roman" w:hAnsi="Times New Roman" w:eastAsia="楷体_GB2312"/>
          <w:sz w:val="24"/>
        </w:rPr>
        <w:t>“受托人”应当在“资金保管机构”开立“信托账户”，并委托“资金保管机构”对该账户内的资金进行保管。“受托人”与“资金保管机构”应当就资金保管事宜另行签订“《资金保管合同》”，由“资金保管机构”负责监督“信托账户”内资金的使用。在“资金保管机构”发生“资金保管机构解任事件”时，应更换“资金保管机构”。更换“资金保管机构”的具体程序由“受托人”和“资金保管机构”在“《资金保管合同》”中具体约定。</w:t>
      </w:r>
    </w:p>
    <w:p w14:paraId="06910881">
      <w:pPr>
        <w:numPr>
          <w:ilvl w:val="0"/>
          <w:numId w:val="6"/>
        </w:numPr>
        <w:spacing w:before="156" w:beforeLines="50" w:after="156" w:afterLines="50" w:line="360" w:lineRule="auto"/>
        <w:outlineLvl w:val="0"/>
        <w:rPr>
          <w:rFonts w:ascii="Times New Roman" w:hAnsi="Times New Roman" w:eastAsia="楷体_GB2312"/>
          <w:b/>
          <w:sz w:val="24"/>
        </w:rPr>
      </w:pPr>
      <w:bookmarkStart w:id="697" w:name="_Ref340403748"/>
      <w:bookmarkStart w:id="698" w:name="_Toc227694333"/>
      <w:bookmarkStart w:id="699" w:name="_Ref340400360"/>
      <w:r>
        <w:rPr>
          <w:rFonts w:ascii="Times New Roman" w:hAnsi="Times New Roman" w:eastAsia="楷体_GB2312"/>
          <w:b/>
          <w:sz w:val="24"/>
        </w:rPr>
        <w:t>清仓回购</w:t>
      </w:r>
      <w:bookmarkEnd w:id="697"/>
      <w:bookmarkEnd w:id="698"/>
      <w:bookmarkEnd w:id="699"/>
    </w:p>
    <w:p w14:paraId="04FFF73D">
      <w:pPr>
        <w:numPr>
          <w:ilvl w:val="1"/>
          <w:numId w:val="6"/>
        </w:numPr>
        <w:tabs>
          <w:tab w:val="left" w:pos="900"/>
        </w:tabs>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“清仓回购”是“委托人”的一项选择权。在满足本款约定的条件的情况下，“委托人”可以按照“资产池”的公允价值进行“清仓回购”。“委托人”进行“清仓回购”应满足下列条件：</w:t>
      </w:r>
    </w:p>
    <w:p w14:paraId="6ABC7F61">
      <w:pPr>
        <w:numPr>
          <w:ilvl w:val="0"/>
          <w:numId w:val="37"/>
        </w:numPr>
        <w:spacing w:before="156" w:beforeLines="50" w:after="156" w:afterLines="50" w:line="360" w:lineRule="auto"/>
        <w:rPr>
          <w:rFonts w:ascii="Times New Roman" w:hAnsi="Times New Roman" w:eastAsia="楷体_GB2312"/>
          <w:b/>
          <w:color w:val="FF0000"/>
          <w:sz w:val="24"/>
        </w:rPr>
      </w:pPr>
      <w:r>
        <w:rPr>
          <w:rFonts w:ascii="Times New Roman" w:hAnsi="Times New Roman" w:eastAsia="楷体_GB2312"/>
          <w:sz w:val="24"/>
        </w:rPr>
        <w:t>“资产池”的“未偿本金余额”总和在“回购起算日”【</w:t>
      </w:r>
      <w:r>
        <w:rPr>
          <w:rFonts w:hint="eastAsia" w:ascii="Times New Roman" w:hAnsi="Times New Roman" w:eastAsia="楷体_GB2312"/>
          <w:i/>
          <w:iCs/>
          <w:sz w:val="24"/>
        </w:rPr>
        <w:t>具体时点</w:t>
      </w:r>
      <w:r>
        <w:rPr>
          <w:rFonts w:ascii="Times New Roman" w:hAnsi="Times New Roman" w:eastAsia="楷体_GB2312"/>
          <w:sz w:val="24"/>
        </w:rPr>
        <w:t>】降至“初始起算日资产池余额”的【10】％或以下；并且</w:t>
      </w:r>
    </w:p>
    <w:p w14:paraId="5C6F8A1F">
      <w:pPr>
        <w:numPr>
          <w:ilvl w:val="0"/>
          <w:numId w:val="37"/>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截至“回购起算日”【</w:t>
      </w:r>
      <w:r>
        <w:rPr>
          <w:rFonts w:hint="eastAsia" w:ascii="Times New Roman" w:hAnsi="Times New Roman" w:eastAsia="楷体_GB2312"/>
          <w:i/>
          <w:iCs/>
          <w:sz w:val="24"/>
        </w:rPr>
        <w:t>具体时点</w:t>
      </w:r>
      <w:r>
        <w:rPr>
          <w:rFonts w:ascii="Times New Roman" w:hAnsi="Times New Roman" w:eastAsia="楷体_GB2312"/>
          <w:sz w:val="24"/>
        </w:rPr>
        <w:t>】剩余“资产池”的公允价值不少于以下A+B之和：A指在“委托人”发出《清仓回购通知书》所在“收款期间”届满后第一个“支付日”前一日全部“优先级资产支持证券”的“未偿本金余额”，及其已产生但未支付的“优先级资产支持证券”的利息总额加上“信托”应承担的“税收”、“费用支出”和服务报酬（“贷款服务机构”的浮动报酬除外）之和。B为下列(i)和(ii)两者之间数值较高者，其中(i)的数值为0；(ii)的数值为截至“回购起算日”【</w:t>
      </w:r>
      <w:r>
        <w:rPr>
          <w:rFonts w:hint="eastAsia" w:ascii="Times New Roman" w:hAnsi="Times New Roman" w:eastAsia="楷体_GB2312"/>
          <w:i/>
          <w:iCs/>
          <w:sz w:val="24"/>
        </w:rPr>
        <w:t>具体时点</w:t>
      </w:r>
      <w:r>
        <w:rPr>
          <w:rFonts w:ascii="Times New Roman" w:hAnsi="Times New Roman" w:eastAsia="楷体_GB2312"/>
          <w:sz w:val="24"/>
        </w:rPr>
        <w:t>】“次级资产支持证券”的“未偿本金余额”减去“累计净损失”的差值。</w:t>
      </w:r>
    </w:p>
    <w:p w14:paraId="3E12B7F4">
      <w:pPr>
        <w:pStyle w:val="115"/>
        <w:spacing w:line="360" w:lineRule="auto"/>
        <w:ind w:left="1412" w:firstLine="0" w:firstLineChars="0"/>
        <w:rPr>
          <w:rFonts w:eastAsia="楷体_GB2312"/>
          <w:color w:val="000000"/>
          <w:sz w:val="24"/>
        </w:rPr>
      </w:pPr>
      <w:r>
        <w:rPr>
          <w:rFonts w:eastAsia="楷体_GB2312"/>
          <w:i/>
          <w:iCs/>
          <w:color w:val="FF0000"/>
          <w:kern w:val="0"/>
          <w:sz w:val="24"/>
        </w:rPr>
        <w:t>【</w:t>
      </w:r>
      <w:r>
        <w:rPr>
          <w:rFonts w:eastAsia="楷体_GB2312"/>
          <w:b/>
          <w:bCs/>
          <w:i/>
          <w:iCs/>
          <w:color w:val="FF0000"/>
          <w:kern w:val="0"/>
          <w:sz w:val="24"/>
        </w:rPr>
        <w:t>注：</w:t>
      </w:r>
      <w:r>
        <w:rPr>
          <w:rFonts w:eastAsia="楷体_GB2312"/>
          <w:b/>
          <w:bCs/>
          <w:i/>
          <w:iCs/>
          <w:color w:val="FF0000"/>
          <w:sz w:val="24"/>
        </w:rPr>
        <w:t>清仓回购具体条件包括资产池公允价值的确定方式根据具体项目情况及监管要求选择适用或进行调整。</w:t>
      </w:r>
      <w:r>
        <w:rPr>
          <w:rFonts w:eastAsia="楷体_GB2312"/>
          <w:b/>
          <w:bCs/>
          <w:i/>
          <w:iCs/>
          <w:color w:val="FF0000"/>
          <w:kern w:val="0"/>
          <w:sz w:val="24"/>
        </w:rPr>
        <w:t>】</w:t>
      </w:r>
    </w:p>
    <w:p w14:paraId="6F27ECAC">
      <w:pPr>
        <w:numPr>
          <w:ilvl w:val="1"/>
          <w:numId w:val="6"/>
        </w:numPr>
        <w:tabs>
          <w:tab w:val="left" w:pos="900"/>
        </w:tabs>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“委托人”决定进行“清仓回购”的，应于作出决定所在的“收款期间”最后一日的前</w:t>
      </w:r>
      <w:r>
        <w:rPr>
          <w:rFonts w:ascii="Times New Roman" w:hAnsi="Times New Roman" w:eastAsia="楷体_GB2312"/>
          <w:b/>
          <w:sz w:val="24"/>
        </w:rPr>
        <w:t>【】</w:t>
      </w:r>
      <w:r>
        <w:rPr>
          <w:rFonts w:ascii="Times New Roman" w:hAnsi="Times New Roman" w:eastAsia="楷体_GB2312"/>
          <w:sz w:val="24"/>
        </w:rPr>
        <w:t>个“工作日”之前（或“受托人”和“委托人”同意的更晚日期），由“委托人”向“受托人”发出关于“清仓回购”“资产池”的书面通知（即“《清仓回购通知书》”，该通知应视为对“受托人”的要约邀请，格式见本合同</w:t>
      </w:r>
      <w:r>
        <w:rPr>
          <w:rFonts w:ascii="Times New Roman" w:hAnsi="Times New Roman" w:eastAsia="楷体_GB2312"/>
          <w:b/>
          <w:i/>
          <w:sz w:val="24"/>
        </w:rPr>
        <w:t>附件六</w:t>
      </w:r>
      <w:r>
        <w:rPr>
          <w:rFonts w:ascii="Times New Roman" w:hAnsi="Times New Roman" w:eastAsia="楷体_GB2312"/>
          <w:sz w:val="24"/>
        </w:rPr>
        <w:t>）。“清仓回购”的</w:t>
      </w:r>
      <w:r>
        <w:rPr>
          <w:rFonts w:ascii="Times New Roman" w:hAnsi="Times New Roman" w:eastAsia="楷体_GB2312"/>
          <w:bCs/>
          <w:sz w:val="24"/>
        </w:rPr>
        <w:t>“</w:t>
      </w:r>
      <w:r>
        <w:rPr>
          <w:rFonts w:ascii="Times New Roman" w:hAnsi="Times New Roman" w:eastAsia="楷体_GB2312"/>
          <w:sz w:val="24"/>
        </w:rPr>
        <w:t>回购起算日</w:t>
      </w:r>
      <w:r>
        <w:rPr>
          <w:rFonts w:ascii="Times New Roman" w:hAnsi="Times New Roman" w:eastAsia="楷体_GB2312"/>
          <w:bCs/>
          <w:sz w:val="24"/>
        </w:rPr>
        <w:t>”</w:t>
      </w:r>
      <w:r>
        <w:rPr>
          <w:rFonts w:ascii="Times New Roman" w:hAnsi="Times New Roman" w:eastAsia="楷体_GB2312"/>
          <w:sz w:val="24"/>
        </w:rPr>
        <w:t>为“委托人”向“受托人”发出《清仓回购通知书》的“收款期间”的第一日。</w:t>
      </w:r>
    </w:p>
    <w:p w14:paraId="69AF64F0">
      <w:pPr>
        <w:numPr>
          <w:ilvl w:val="1"/>
          <w:numId w:val="6"/>
        </w:numPr>
        <w:tabs>
          <w:tab w:val="left" w:pos="900"/>
        </w:tabs>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收到“委托人”发出的《清仓回购通知书》后，“受托人”应不迟于发出《清仓回购通知书》所在“收款期间”最后一日的前</w:t>
      </w:r>
      <w:r>
        <w:rPr>
          <w:rFonts w:ascii="Times New Roman" w:hAnsi="Times New Roman" w:eastAsia="楷体_GB2312"/>
          <w:b/>
          <w:sz w:val="24"/>
        </w:rPr>
        <w:t>【】</w:t>
      </w:r>
      <w:r>
        <w:rPr>
          <w:rFonts w:ascii="Times New Roman" w:hAnsi="Times New Roman" w:eastAsia="楷体_GB2312"/>
          <w:sz w:val="24"/>
        </w:rPr>
        <w:t>个“工作日”之前（或“受托人”和“委托人”同意的更晚日期），以“资产池”的公允价值作为“清仓回购价格”，向“委托人”发出书面要约（即“《清仓回购要约通知书》”，格式见本合同</w:t>
      </w:r>
      <w:r>
        <w:rPr>
          <w:rFonts w:ascii="Times New Roman" w:hAnsi="Times New Roman" w:eastAsia="楷体_GB2312"/>
          <w:b/>
          <w:i/>
          <w:sz w:val="24"/>
        </w:rPr>
        <w:t>附件七</w:t>
      </w:r>
      <w:r>
        <w:rPr>
          <w:rFonts w:ascii="Times New Roman" w:hAnsi="Times New Roman" w:eastAsia="楷体_GB2312"/>
          <w:sz w:val="24"/>
        </w:rPr>
        <w:t>）。书面要约中应记载“清仓回购价格”，</w:t>
      </w:r>
      <w:r>
        <w:rPr>
          <w:rFonts w:ascii="Times New Roman" w:hAnsi="Times New Roman" w:eastAsia="楷体_GB2312"/>
          <w:color w:val="000000"/>
          <w:sz w:val="24"/>
        </w:rPr>
        <w:t>“受托人”届时</w:t>
      </w:r>
      <w:r>
        <w:rPr>
          <w:rFonts w:hint="eastAsia" w:ascii="Times New Roman" w:hAnsi="Times New Roman" w:eastAsia="楷体_GB2312"/>
          <w:color w:val="000000"/>
          <w:sz w:val="24"/>
        </w:rPr>
        <w:t>应当</w:t>
      </w:r>
      <w:r>
        <w:rPr>
          <w:rFonts w:ascii="Times New Roman" w:hAnsi="Times New Roman" w:eastAsia="楷体_GB2312"/>
          <w:color w:val="000000"/>
          <w:sz w:val="24"/>
        </w:rPr>
        <w:t>聘请评估机构、评级机构等第三方专业机构对剩余“资产池”进行评估/估值，并以其出具的专业报告中的评估价值或债权价值作为“资产池”的公允价值和“清仓回购价格”，由此发生的费用由“信托财产”承担。“</w:t>
      </w:r>
      <w:r>
        <w:rPr>
          <w:rFonts w:hint="eastAsia" w:ascii="Times New Roman" w:hAnsi="Times New Roman" w:eastAsia="楷体_GB2312"/>
          <w:color w:val="000000"/>
          <w:sz w:val="24"/>
        </w:rPr>
        <w:t>受托人</w:t>
      </w:r>
      <w:r>
        <w:rPr>
          <w:rFonts w:ascii="Times New Roman" w:hAnsi="Times New Roman" w:eastAsia="楷体_GB2312"/>
          <w:color w:val="000000"/>
          <w:sz w:val="24"/>
        </w:rPr>
        <w:t>”</w:t>
      </w:r>
      <w:r>
        <w:rPr>
          <w:rFonts w:hint="eastAsia" w:ascii="Times New Roman" w:hAnsi="Times New Roman" w:eastAsia="楷体_GB2312"/>
          <w:color w:val="000000"/>
          <w:sz w:val="24"/>
        </w:rPr>
        <w:t>应将前述拟定的</w:t>
      </w:r>
      <w:r>
        <w:rPr>
          <w:rFonts w:ascii="Times New Roman" w:hAnsi="Times New Roman" w:eastAsia="楷体_GB2312"/>
          <w:color w:val="000000"/>
          <w:sz w:val="24"/>
        </w:rPr>
        <w:t>“</w:t>
      </w:r>
      <w:r>
        <w:rPr>
          <w:rFonts w:hint="eastAsia" w:ascii="Times New Roman" w:hAnsi="Times New Roman" w:eastAsia="楷体_GB2312"/>
          <w:color w:val="000000"/>
          <w:sz w:val="24"/>
        </w:rPr>
        <w:t>清仓回购价格</w:t>
      </w:r>
      <w:r>
        <w:rPr>
          <w:rFonts w:ascii="Times New Roman" w:hAnsi="Times New Roman" w:eastAsia="楷体_GB2312"/>
          <w:color w:val="000000"/>
          <w:sz w:val="24"/>
        </w:rPr>
        <w:t>”</w:t>
      </w:r>
      <w:r>
        <w:rPr>
          <w:rFonts w:hint="eastAsia" w:ascii="Times New Roman" w:hAnsi="Times New Roman" w:eastAsia="楷体_GB2312"/>
          <w:color w:val="000000"/>
          <w:sz w:val="24"/>
        </w:rPr>
        <w:t>以书面形式通知全体</w:t>
      </w:r>
      <w:r>
        <w:rPr>
          <w:rFonts w:ascii="Times New Roman" w:hAnsi="Times New Roman" w:eastAsia="楷体_GB2312"/>
          <w:color w:val="000000"/>
          <w:sz w:val="24"/>
        </w:rPr>
        <w:t>“</w:t>
      </w:r>
      <w:r>
        <w:rPr>
          <w:rFonts w:hint="eastAsia" w:ascii="Times New Roman" w:hAnsi="Times New Roman" w:eastAsia="楷体_GB2312"/>
          <w:color w:val="000000"/>
          <w:sz w:val="24"/>
        </w:rPr>
        <w:t>资产支持证券持有人</w:t>
      </w:r>
      <w:r>
        <w:rPr>
          <w:rFonts w:ascii="Times New Roman" w:hAnsi="Times New Roman" w:eastAsia="楷体_GB2312"/>
          <w:color w:val="000000"/>
          <w:sz w:val="24"/>
        </w:rPr>
        <w:t>”</w:t>
      </w:r>
      <w:r>
        <w:rPr>
          <w:rFonts w:hint="eastAsia" w:ascii="Times New Roman" w:hAnsi="Times New Roman" w:eastAsia="楷体_GB2312"/>
          <w:color w:val="000000"/>
          <w:sz w:val="24"/>
        </w:rPr>
        <w:t>。如</w:t>
      </w:r>
      <w:r>
        <w:rPr>
          <w:rFonts w:ascii="Times New Roman" w:hAnsi="Times New Roman" w:eastAsia="楷体_GB2312"/>
          <w:color w:val="000000"/>
          <w:sz w:val="24"/>
        </w:rPr>
        <w:t>“</w:t>
      </w:r>
      <w:r>
        <w:rPr>
          <w:rFonts w:hint="eastAsia" w:ascii="Times New Roman" w:hAnsi="Times New Roman" w:eastAsia="楷体_GB2312"/>
          <w:color w:val="000000"/>
          <w:sz w:val="24"/>
        </w:rPr>
        <w:t>资产支持证券持有人</w:t>
      </w:r>
      <w:r>
        <w:rPr>
          <w:rFonts w:ascii="Times New Roman" w:hAnsi="Times New Roman" w:eastAsia="楷体_GB2312"/>
          <w:color w:val="000000"/>
          <w:sz w:val="24"/>
        </w:rPr>
        <w:t>”</w:t>
      </w:r>
      <w:r>
        <w:rPr>
          <w:rFonts w:hint="eastAsia" w:ascii="Times New Roman" w:hAnsi="Times New Roman" w:eastAsia="楷体_GB2312"/>
          <w:color w:val="000000"/>
          <w:sz w:val="24"/>
        </w:rPr>
        <w:t>对前述拟定的</w:t>
      </w:r>
      <w:r>
        <w:rPr>
          <w:rFonts w:ascii="Times New Roman" w:hAnsi="Times New Roman" w:eastAsia="楷体_GB2312"/>
          <w:color w:val="000000"/>
          <w:sz w:val="24"/>
        </w:rPr>
        <w:t>“</w:t>
      </w:r>
      <w:r>
        <w:rPr>
          <w:rFonts w:hint="eastAsia" w:ascii="Times New Roman" w:hAnsi="Times New Roman" w:eastAsia="楷体_GB2312"/>
          <w:color w:val="000000"/>
          <w:sz w:val="24"/>
        </w:rPr>
        <w:t>清仓回购价格</w:t>
      </w:r>
      <w:r>
        <w:rPr>
          <w:rFonts w:ascii="Times New Roman" w:hAnsi="Times New Roman" w:eastAsia="楷体_GB2312"/>
          <w:color w:val="000000"/>
          <w:sz w:val="24"/>
        </w:rPr>
        <w:t>”</w:t>
      </w:r>
      <w:r>
        <w:rPr>
          <w:rFonts w:hint="eastAsia" w:ascii="Times New Roman" w:hAnsi="Times New Roman" w:eastAsia="楷体_GB2312"/>
          <w:color w:val="000000"/>
          <w:sz w:val="24"/>
        </w:rPr>
        <w:t>有异议，在收到</w:t>
      </w:r>
      <w:r>
        <w:rPr>
          <w:rFonts w:ascii="Times New Roman" w:hAnsi="Times New Roman" w:eastAsia="楷体_GB2312"/>
          <w:color w:val="000000"/>
          <w:sz w:val="24"/>
        </w:rPr>
        <w:t>“</w:t>
      </w:r>
      <w:r>
        <w:rPr>
          <w:rFonts w:hint="eastAsia" w:ascii="Times New Roman" w:hAnsi="Times New Roman" w:eastAsia="楷体_GB2312"/>
          <w:color w:val="000000"/>
          <w:sz w:val="24"/>
        </w:rPr>
        <w:t>受托人</w:t>
      </w:r>
      <w:r>
        <w:rPr>
          <w:rFonts w:ascii="Times New Roman" w:hAnsi="Times New Roman" w:eastAsia="楷体_GB2312"/>
          <w:color w:val="000000"/>
          <w:sz w:val="24"/>
        </w:rPr>
        <w:t>”</w:t>
      </w:r>
      <w:r>
        <w:rPr>
          <w:rFonts w:hint="eastAsia" w:ascii="Times New Roman" w:hAnsi="Times New Roman" w:eastAsia="楷体_GB2312"/>
          <w:color w:val="000000"/>
          <w:sz w:val="24"/>
        </w:rPr>
        <w:t>书面通知后【】个</w:t>
      </w:r>
      <w:r>
        <w:rPr>
          <w:rFonts w:ascii="Times New Roman" w:hAnsi="Times New Roman" w:eastAsia="楷体_GB2312"/>
          <w:color w:val="000000"/>
          <w:sz w:val="24"/>
        </w:rPr>
        <w:t>“</w:t>
      </w:r>
      <w:r>
        <w:rPr>
          <w:rFonts w:hint="eastAsia" w:ascii="Times New Roman" w:hAnsi="Times New Roman" w:eastAsia="楷体_GB2312"/>
          <w:color w:val="000000"/>
          <w:sz w:val="24"/>
        </w:rPr>
        <w:t>工作日</w:t>
      </w:r>
      <w:r>
        <w:rPr>
          <w:rFonts w:ascii="Times New Roman" w:hAnsi="Times New Roman" w:eastAsia="楷体_GB2312"/>
          <w:color w:val="000000"/>
          <w:sz w:val="24"/>
        </w:rPr>
        <w:t>”</w:t>
      </w:r>
      <w:r>
        <w:rPr>
          <w:rFonts w:hint="eastAsia" w:ascii="Times New Roman" w:hAnsi="Times New Roman" w:eastAsia="楷体_GB2312"/>
          <w:color w:val="000000"/>
          <w:sz w:val="24"/>
        </w:rPr>
        <w:t>内，可以根据</w:t>
      </w:r>
      <w:r>
        <w:rPr>
          <w:rFonts w:ascii="Times New Roman" w:hAnsi="Times New Roman" w:eastAsia="楷体_GB2312"/>
          <w:color w:val="000000"/>
          <w:sz w:val="24"/>
        </w:rPr>
        <w:t>“</w:t>
      </w:r>
      <w:r>
        <w:rPr>
          <w:rFonts w:hint="eastAsia" w:ascii="Times New Roman" w:hAnsi="Times New Roman" w:eastAsia="楷体_GB2312"/>
          <w:color w:val="000000"/>
          <w:sz w:val="24"/>
        </w:rPr>
        <w:t>《信托合同》</w:t>
      </w:r>
      <w:r>
        <w:rPr>
          <w:rFonts w:ascii="Times New Roman" w:hAnsi="Times New Roman" w:eastAsia="楷体_GB2312"/>
          <w:color w:val="000000"/>
          <w:sz w:val="24"/>
        </w:rPr>
        <w:t>”</w:t>
      </w:r>
      <w:r>
        <w:rPr>
          <w:rFonts w:hint="eastAsia" w:ascii="Times New Roman" w:hAnsi="Times New Roman" w:eastAsia="楷体_GB2312"/>
          <w:color w:val="000000"/>
          <w:sz w:val="24"/>
        </w:rPr>
        <w:t>的相关约定请求</w:t>
      </w:r>
      <w:r>
        <w:rPr>
          <w:rFonts w:ascii="Times New Roman" w:hAnsi="Times New Roman" w:eastAsia="楷体_GB2312"/>
          <w:color w:val="000000"/>
          <w:sz w:val="24"/>
        </w:rPr>
        <w:t>“</w:t>
      </w:r>
      <w:r>
        <w:rPr>
          <w:rFonts w:hint="eastAsia" w:ascii="Times New Roman" w:hAnsi="Times New Roman" w:eastAsia="楷体_GB2312"/>
          <w:color w:val="000000"/>
          <w:sz w:val="24"/>
        </w:rPr>
        <w:t>受托人</w:t>
      </w:r>
      <w:r>
        <w:rPr>
          <w:rFonts w:ascii="Times New Roman" w:hAnsi="Times New Roman" w:eastAsia="楷体_GB2312"/>
          <w:color w:val="000000"/>
          <w:sz w:val="24"/>
        </w:rPr>
        <w:t>”</w:t>
      </w:r>
      <w:r>
        <w:rPr>
          <w:rFonts w:hint="eastAsia" w:ascii="Times New Roman" w:hAnsi="Times New Roman" w:eastAsia="楷体_GB2312"/>
          <w:color w:val="000000"/>
          <w:sz w:val="24"/>
        </w:rPr>
        <w:t>召集</w:t>
      </w:r>
      <w:r>
        <w:rPr>
          <w:rFonts w:ascii="Times New Roman" w:hAnsi="Times New Roman" w:eastAsia="楷体_GB2312"/>
          <w:color w:val="000000"/>
          <w:sz w:val="24"/>
        </w:rPr>
        <w:t>“</w:t>
      </w:r>
      <w:r>
        <w:rPr>
          <w:rFonts w:hint="eastAsia" w:ascii="Times New Roman" w:hAnsi="Times New Roman" w:eastAsia="楷体_GB2312"/>
          <w:color w:val="000000"/>
          <w:sz w:val="24"/>
        </w:rPr>
        <w:t>资产支持证券持有人大会</w:t>
      </w:r>
      <w:r>
        <w:rPr>
          <w:rFonts w:ascii="Times New Roman" w:hAnsi="Times New Roman" w:eastAsia="楷体_GB2312"/>
          <w:color w:val="000000"/>
          <w:sz w:val="24"/>
        </w:rPr>
        <w:t>”</w:t>
      </w:r>
      <w:r>
        <w:rPr>
          <w:rFonts w:hint="eastAsia" w:ascii="Times New Roman" w:hAnsi="Times New Roman" w:eastAsia="楷体_GB2312"/>
          <w:color w:val="000000"/>
          <w:sz w:val="24"/>
        </w:rPr>
        <w:t>。书面要约</w:t>
      </w:r>
      <w:r>
        <w:rPr>
          <w:rFonts w:ascii="Times New Roman" w:hAnsi="Times New Roman" w:eastAsia="楷体_GB2312"/>
          <w:sz w:val="24"/>
        </w:rPr>
        <w:t>中应约定在“委托人”承诺后，“受托人”将自“回购起算日”</w:t>
      </w:r>
      <w:r>
        <w:rPr>
          <w:rFonts w:ascii="Times New Roman" w:hAnsi="Times New Roman" w:eastAsia="楷体_GB2312"/>
          <w:i/>
          <w:iCs/>
          <w:sz w:val="24"/>
        </w:rPr>
        <w:t>【具体时</w:t>
      </w:r>
      <w:r>
        <w:rPr>
          <w:rFonts w:hint="eastAsia" w:ascii="Times New Roman" w:hAnsi="Times New Roman" w:eastAsia="楷体_GB2312"/>
          <w:i/>
          <w:iCs/>
          <w:sz w:val="24"/>
        </w:rPr>
        <w:t>点</w:t>
      </w:r>
      <w:r>
        <w:rPr>
          <w:rFonts w:ascii="Times New Roman" w:hAnsi="Times New Roman" w:eastAsia="楷体_GB2312"/>
          <w:i/>
          <w:iCs/>
          <w:sz w:val="24"/>
        </w:rPr>
        <w:t>】</w:t>
      </w:r>
      <w:r>
        <w:rPr>
          <w:rFonts w:ascii="Times New Roman" w:hAnsi="Times New Roman" w:eastAsia="楷体_GB2312"/>
          <w:sz w:val="24"/>
        </w:rPr>
        <w:t>起“信托”项下全部剩余“资产池”出售给“委托人”。</w:t>
      </w:r>
    </w:p>
    <w:p w14:paraId="08C03F1B">
      <w:pPr>
        <w:tabs>
          <w:tab w:val="left" w:pos="900"/>
        </w:tabs>
        <w:spacing w:before="156" w:beforeLines="50" w:after="156" w:afterLines="50" w:line="360" w:lineRule="auto"/>
        <w:ind w:left="992"/>
        <w:rPr>
          <w:rFonts w:ascii="Times New Roman" w:hAnsi="Times New Roman" w:eastAsia="楷体_GB2312"/>
          <w:sz w:val="24"/>
        </w:rPr>
      </w:pPr>
      <w:r>
        <w:rPr>
          <w:rFonts w:eastAsia="楷体_GB2312"/>
          <w:i/>
          <w:iCs/>
          <w:color w:val="FF0000"/>
          <w:kern w:val="0"/>
          <w:sz w:val="24"/>
        </w:rPr>
        <w:t>【</w:t>
      </w:r>
      <w:r>
        <w:rPr>
          <w:rFonts w:eastAsia="楷体_GB2312"/>
          <w:b/>
          <w:bCs/>
          <w:i/>
          <w:iCs/>
          <w:color w:val="FF0000"/>
          <w:kern w:val="0"/>
          <w:sz w:val="24"/>
        </w:rPr>
        <w:t>注：</w:t>
      </w:r>
      <w:r>
        <w:rPr>
          <w:rFonts w:hint="eastAsia" w:eastAsia="楷体_GB2312"/>
          <w:b/>
          <w:bCs/>
          <w:i/>
          <w:iCs/>
          <w:color w:val="FF0000"/>
          <w:kern w:val="0"/>
          <w:sz w:val="24"/>
        </w:rPr>
        <w:t>（1）</w:t>
      </w:r>
      <w:r>
        <w:rPr>
          <w:rFonts w:hint="eastAsia" w:eastAsia="楷体_GB2312"/>
          <w:b/>
          <w:bCs/>
          <w:i/>
          <w:iCs/>
          <w:color w:val="FF0000"/>
          <w:sz w:val="24"/>
        </w:rPr>
        <w:t>鼓励按上述方式确定并执行清仓回购价格。（2）清仓回购价格应注意参考公允价值予以确定</w:t>
      </w:r>
      <w:r>
        <w:rPr>
          <w:rFonts w:eastAsia="楷体_GB2312"/>
          <w:b/>
          <w:bCs/>
          <w:i/>
          <w:iCs/>
          <w:color w:val="FF0000"/>
          <w:sz w:val="24"/>
        </w:rPr>
        <w:t>。</w:t>
      </w:r>
      <w:r>
        <w:rPr>
          <w:rFonts w:hint="eastAsia" w:eastAsia="楷体_GB2312"/>
          <w:b/>
          <w:bCs/>
          <w:i/>
          <w:iCs/>
          <w:color w:val="FF0000"/>
          <w:sz w:val="24"/>
        </w:rPr>
        <w:t>如</w:t>
      </w:r>
      <w:r>
        <w:rPr>
          <w:rFonts w:eastAsia="楷体_GB2312"/>
          <w:b/>
          <w:bCs/>
          <w:i/>
          <w:iCs/>
          <w:color w:val="FF0000"/>
          <w:sz w:val="24"/>
        </w:rPr>
        <w:t>资产支持证券持有人</w:t>
      </w:r>
      <w:r>
        <w:rPr>
          <w:rFonts w:hint="eastAsia" w:eastAsia="楷体_GB2312"/>
          <w:b/>
          <w:bCs/>
          <w:i/>
          <w:iCs/>
          <w:color w:val="FF0000"/>
          <w:sz w:val="24"/>
        </w:rPr>
        <w:t>有异议，在</w:t>
      </w:r>
      <w:r>
        <w:rPr>
          <w:rFonts w:eastAsia="楷体_GB2312"/>
          <w:b/>
          <w:bCs/>
          <w:i/>
          <w:iCs/>
          <w:color w:val="FF0000"/>
          <w:sz w:val="24"/>
        </w:rPr>
        <w:t>收到受托人</w:t>
      </w:r>
      <w:r>
        <w:rPr>
          <w:rFonts w:hint="eastAsia" w:eastAsia="楷体_GB2312"/>
          <w:b/>
          <w:bCs/>
          <w:i/>
          <w:iCs/>
          <w:color w:val="FF0000"/>
          <w:sz w:val="24"/>
        </w:rPr>
        <w:t>书面</w:t>
      </w:r>
      <w:r>
        <w:rPr>
          <w:rFonts w:eastAsia="楷体_GB2312"/>
          <w:b/>
          <w:bCs/>
          <w:i/>
          <w:iCs/>
          <w:color w:val="FF0000"/>
          <w:sz w:val="24"/>
        </w:rPr>
        <w:t>通知后，可以</w:t>
      </w:r>
      <w:r>
        <w:rPr>
          <w:rFonts w:hint="eastAsia" w:eastAsia="楷体_GB2312"/>
          <w:b/>
          <w:bCs/>
          <w:i/>
          <w:iCs/>
          <w:color w:val="FF0000"/>
          <w:sz w:val="24"/>
        </w:rPr>
        <w:t>在约定时间内，根据</w:t>
      </w:r>
      <w:r>
        <w:rPr>
          <w:rFonts w:eastAsia="楷体_GB2312"/>
          <w:b/>
          <w:bCs/>
          <w:i/>
          <w:iCs/>
          <w:color w:val="FF0000"/>
          <w:sz w:val="24"/>
        </w:rPr>
        <w:t>《信托合同》</w:t>
      </w:r>
      <w:r>
        <w:rPr>
          <w:rFonts w:hint="eastAsia" w:eastAsia="楷体_GB2312"/>
          <w:b/>
          <w:bCs/>
          <w:i/>
          <w:iCs/>
          <w:color w:val="FF0000"/>
          <w:sz w:val="24"/>
        </w:rPr>
        <w:t>第19.2.2款</w:t>
      </w:r>
      <w:r>
        <w:rPr>
          <w:rFonts w:eastAsia="楷体_GB2312"/>
          <w:b/>
          <w:bCs/>
          <w:i/>
          <w:iCs/>
          <w:color w:val="FF0000"/>
          <w:sz w:val="24"/>
        </w:rPr>
        <w:t>请求受托人召集资产支持证券持有人大会</w:t>
      </w:r>
      <w:r>
        <w:rPr>
          <w:rFonts w:hint="eastAsia" w:eastAsia="楷体_GB2312"/>
          <w:b/>
          <w:bCs/>
          <w:i/>
          <w:iCs/>
          <w:color w:val="FF0000"/>
          <w:sz w:val="24"/>
        </w:rPr>
        <w:t>，届时将</w:t>
      </w:r>
      <w:r>
        <w:rPr>
          <w:rFonts w:eastAsia="楷体_GB2312"/>
          <w:b/>
          <w:bCs/>
          <w:i/>
          <w:iCs/>
          <w:color w:val="FF0000"/>
          <w:sz w:val="24"/>
        </w:rPr>
        <w:t>由资产支持证券持有人大会就清仓回购价格作出决议，并</w:t>
      </w:r>
      <w:r>
        <w:rPr>
          <w:rFonts w:hint="eastAsia" w:eastAsia="楷体_GB2312"/>
          <w:b/>
          <w:bCs/>
          <w:i/>
          <w:iCs/>
          <w:color w:val="FF0000"/>
          <w:sz w:val="24"/>
        </w:rPr>
        <w:t>将</w:t>
      </w:r>
      <w:r>
        <w:rPr>
          <w:rFonts w:eastAsia="楷体_GB2312"/>
          <w:b/>
          <w:bCs/>
          <w:i/>
          <w:iCs/>
          <w:color w:val="FF0000"/>
          <w:sz w:val="24"/>
        </w:rPr>
        <w:t>表决结果</w:t>
      </w:r>
      <w:r>
        <w:rPr>
          <w:rFonts w:hint="eastAsia" w:eastAsia="楷体_GB2312"/>
          <w:b/>
          <w:bCs/>
          <w:i/>
          <w:iCs/>
          <w:color w:val="FF0000"/>
          <w:sz w:val="24"/>
        </w:rPr>
        <w:t>作为最终的</w:t>
      </w:r>
      <w:r>
        <w:rPr>
          <w:rFonts w:eastAsia="楷体_GB2312"/>
          <w:b/>
          <w:bCs/>
          <w:i/>
          <w:iCs/>
          <w:color w:val="FF0000"/>
          <w:sz w:val="24"/>
        </w:rPr>
        <w:t>清仓回购价格</w:t>
      </w:r>
      <w:r>
        <w:rPr>
          <w:rFonts w:hint="eastAsia" w:eastAsia="楷体_GB2312"/>
          <w:b/>
          <w:bCs/>
          <w:i/>
          <w:iCs/>
          <w:color w:val="FF0000"/>
          <w:sz w:val="24"/>
        </w:rPr>
        <w:t>。</w:t>
      </w:r>
      <w:r>
        <w:rPr>
          <w:rFonts w:eastAsia="楷体_GB2312"/>
          <w:b/>
          <w:bCs/>
          <w:i/>
          <w:iCs/>
          <w:color w:val="FF0000"/>
          <w:kern w:val="0"/>
          <w:sz w:val="24"/>
        </w:rPr>
        <w:t>】</w:t>
      </w:r>
    </w:p>
    <w:p w14:paraId="5241A235">
      <w:pPr>
        <w:numPr>
          <w:ilvl w:val="1"/>
          <w:numId w:val="6"/>
        </w:numPr>
        <w:tabs>
          <w:tab w:val="left" w:pos="900"/>
        </w:tabs>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如果“委托人”同意接受“受托人”发出的上述要约，则应在收到该要约通知后</w:t>
      </w:r>
      <w:r>
        <w:rPr>
          <w:rFonts w:ascii="Times New Roman" w:hAnsi="Times New Roman" w:eastAsia="楷体_GB2312"/>
          <w:b/>
          <w:sz w:val="24"/>
        </w:rPr>
        <w:t>【】</w:t>
      </w:r>
      <w:r>
        <w:rPr>
          <w:rFonts w:ascii="Times New Roman" w:hAnsi="Times New Roman" w:eastAsia="楷体_GB2312"/>
          <w:sz w:val="24"/>
        </w:rPr>
        <w:t>个“工作日”内，由“委托人”向“受托人”书面发出不可撤销的承诺通知（即“《清仓回购承诺通知书》”，格式见本合同</w:t>
      </w:r>
      <w:r>
        <w:rPr>
          <w:rFonts w:ascii="Times New Roman" w:hAnsi="Times New Roman" w:eastAsia="楷体_GB2312"/>
          <w:b/>
          <w:i/>
          <w:sz w:val="24"/>
        </w:rPr>
        <w:t>附件八</w:t>
      </w:r>
      <w:r>
        <w:rPr>
          <w:rFonts w:ascii="Times New Roman" w:hAnsi="Times New Roman" w:eastAsia="楷体_GB2312"/>
          <w:sz w:val="24"/>
        </w:rPr>
        <w:t>），并抄送“评级机构”。“委托人”应于“委托人”发出的书面要约载明的期限内（但不得晚于发出《清仓回购通知书》所在“收款期间”结束后的第一个“回收款转付日”）将相当于“清仓回购价格”的资金扣除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_Ref342416683 \r \h  \* MERGEFORMAT </w:instrText>
      </w:r>
      <w:r>
        <w:rPr>
          <w:rFonts w:ascii="Times New Roman" w:hAnsi="Times New Roman" w:eastAsia="楷体_GB2312"/>
          <w:sz w:val="24"/>
        </w:rPr>
        <w:fldChar w:fldCharType="separate"/>
      </w:r>
      <w:r>
        <w:rPr>
          <w:rFonts w:ascii="Times New Roman" w:hAnsi="Times New Roman" w:eastAsia="楷体_GB2312"/>
          <w:sz w:val="24"/>
        </w:rPr>
        <w:t>13.5</w:t>
      </w:r>
      <w:r>
        <w:rPr>
          <w:rFonts w:ascii="Times New Roman" w:hAnsi="Times New Roman" w:eastAsia="楷体_GB2312"/>
          <w:sz w:val="24"/>
        </w:rPr>
        <w:fldChar w:fldCharType="end"/>
      </w:r>
      <w:r>
        <w:rPr>
          <w:rFonts w:ascii="Times New Roman" w:hAnsi="Times New Roman" w:eastAsia="楷体_GB2312"/>
          <w:sz w:val="24"/>
        </w:rPr>
        <w:t>款“委托人”可扣除的款项（如有）后一次性支付至“信托账户”。</w:t>
      </w:r>
    </w:p>
    <w:p w14:paraId="3AF8BC52">
      <w:pPr>
        <w:numPr>
          <w:ilvl w:val="1"/>
          <w:numId w:val="6"/>
        </w:numPr>
        <w:tabs>
          <w:tab w:val="left" w:pos="900"/>
        </w:tabs>
        <w:spacing w:before="156" w:beforeLines="50" w:after="156" w:afterLines="50" w:line="360" w:lineRule="auto"/>
        <w:rPr>
          <w:rFonts w:ascii="Times New Roman" w:hAnsi="Times New Roman" w:eastAsia="楷体_GB2312"/>
          <w:sz w:val="24"/>
        </w:rPr>
      </w:pPr>
      <w:bookmarkStart w:id="700" w:name="_Ref342416683"/>
      <w:r>
        <w:rPr>
          <w:rFonts w:ascii="Times New Roman" w:hAnsi="Times New Roman" w:eastAsia="楷体_GB2312"/>
          <w:sz w:val="24"/>
        </w:rPr>
        <w:t>自“信托账户”收到“委托人”支付的相当于“清仓回购价格”的资金之日</w:t>
      </w:r>
      <w:r>
        <w:rPr>
          <w:rFonts w:hint="eastAsia" w:ascii="Times New Roman" w:hAnsi="Times New Roman" w:eastAsia="楷体_GB2312"/>
          <w:sz w:val="24"/>
        </w:rPr>
        <w:t>起</w:t>
      </w:r>
      <w:r>
        <w:rPr>
          <w:rFonts w:ascii="Times New Roman" w:hAnsi="Times New Roman" w:eastAsia="楷体_GB2312"/>
          <w:sz w:val="24"/>
        </w:rPr>
        <w:t>，“受托人”自“回购起算日”【</w:t>
      </w:r>
      <w:r>
        <w:rPr>
          <w:rFonts w:hint="eastAsia" w:ascii="Times New Roman" w:hAnsi="Times New Roman" w:eastAsia="楷体_GB2312"/>
          <w:i/>
          <w:iCs/>
          <w:sz w:val="24"/>
        </w:rPr>
        <w:t>具体时点</w:t>
      </w:r>
      <w:r>
        <w:rPr>
          <w:rFonts w:ascii="Times New Roman" w:hAnsi="Times New Roman" w:eastAsia="楷体_GB2312"/>
          <w:sz w:val="24"/>
        </w:rPr>
        <w:t>】起对剩余“资产池”和相关“账户记录”的（现时的和未来的、实际的和或有的）权利、权益、利益和收益全部自动转让给“委托人”；自“回购起算日”【</w:t>
      </w:r>
      <w:r>
        <w:rPr>
          <w:rFonts w:hint="eastAsia" w:ascii="Times New Roman" w:hAnsi="Times New Roman" w:eastAsia="楷体_GB2312"/>
          <w:i/>
          <w:iCs/>
          <w:sz w:val="24"/>
        </w:rPr>
        <w:t>具体时点</w:t>
      </w:r>
      <w:r>
        <w:rPr>
          <w:rFonts w:ascii="Times New Roman" w:hAnsi="Times New Roman" w:eastAsia="楷体_GB2312"/>
          <w:sz w:val="24"/>
        </w:rPr>
        <w:t>】起“资产池”所产生的全部“回收款”为“委托人”所有。如果“贷款服务机构”已经将发出《清仓回购通知书》所在“收款期间”产生的“回收款”转付给“受托人”的，“委托人”可以从其支付的“清仓回购价款”扣除该等“回收款”；如“贷款服务机构”尚未将发出《清仓回购通知书》所在“收款期间”产生的“回收款”转付给“受托人”的，“受托人”可指示“贷款服务机构”向“委托人”交付该等“回收款”。此外，在由“委托人”承担费用的前提下，“受托人”应协助“委托人”办理其合理地认为必要的全部变更登记和通知手续（如有）。</w:t>
      </w:r>
      <w:bookmarkEnd w:id="700"/>
    </w:p>
    <w:p w14:paraId="735D734C">
      <w:pPr>
        <w:numPr>
          <w:ilvl w:val="1"/>
          <w:numId w:val="6"/>
        </w:numPr>
        <w:tabs>
          <w:tab w:val="left" w:pos="900"/>
        </w:tabs>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“受托人”应将“信托账户”收到的“清仓回购价格”款项中的“收入回收款”和“本金回收款”分别转入“收入分账户”和“本金分账户”。</w:t>
      </w:r>
    </w:p>
    <w:p w14:paraId="631D1ED2">
      <w:pPr>
        <w:tabs>
          <w:tab w:val="left" w:pos="900"/>
        </w:tabs>
        <w:spacing w:before="156" w:beforeLines="50" w:after="156" w:afterLines="50" w:line="360" w:lineRule="auto"/>
        <w:ind w:left="992"/>
        <w:rPr>
          <w:rFonts w:ascii="Times New Roman" w:hAnsi="Times New Roman" w:eastAsia="楷体_GB2312"/>
          <w:sz w:val="24"/>
        </w:rPr>
      </w:pPr>
      <w:r>
        <w:rPr>
          <w:rFonts w:eastAsia="楷体_GB2312"/>
          <w:b/>
          <w:bCs/>
          <w:i/>
          <w:iCs/>
          <w:color w:val="FF0000"/>
          <w:kern w:val="0"/>
          <w:sz w:val="24"/>
        </w:rPr>
        <w:t>【注：清仓回购各程序的时间要求、清仓回购价格以及回购起算日的设定等，均可根据具体项目需要调整。】</w:t>
      </w:r>
    </w:p>
    <w:p w14:paraId="6F345400">
      <w:pPr>
        <w:numPr>
          <w:ilvl w:val="0"/>
          <w:numId w:val="6"/>
        </w:numPr>
        <w:spacing w:before="156" w:beforeLines="50" w:after="156" w:afterLines="50" w:line="360" w:lineRule="auto"/>
        <w:outlineLvl w:val="0"/>
        <w:rPr>
          <w:rFonts w:ascii="Times New Roman" w:hAnsi="Times New Roman" w:eastAsia="楷体_GB2312"/>
          <w:b/>
          <w:sz w:val="24"/>
        </w:rPr>
      </w:pPr>
      <w:bookmarkStart w:id="701" w:name="_Toc227694334"/>
      <w:r>
        <w:rPr>
          <w:rFonts w:ascii="Times New Roman" w:hAnsi="Times New Roman" w:eastAsia="楷体_GB2312"/>
          <w:b/>
          <w:sz w:val="24"/>
        </w:rPr>
        <w:t>信托的终止与清算</w:t>
      </w:r>
      <w:bookmarkEnd w:id="680"/>
      <w:bookmarkEnd w:id="701"/>
    </w:p>
    <w:p w14:paraId="45876B8D">
      <w:pPr>
        <w:numPr>
          <w:ilvl w:val="1"/>
          <w:numId w:val="6"/>
        </w:numPr>
        <w:tabs>
          <w:tab w:val="left" w:pos="1134"/>
          <w:tab w:val="left" w:pos="1800"/>
        </w:tabs>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信托的终止</w:t>
      </w:r>
    </w:p>
    <w:p w14:paraId="7735DB42">
      <w:pPr>
        <w:tabs>
          <w:tab w:val="left" w:pos="1800"/>
          <w:tab w:val="left" w:pos="1980"/>
        </w:tabs>
        <w:spacing w:before="156" w:beforeLines="50" w:after="156" w:afterLines="50" w:line="360" w:lineRule="auto"/>
        <w:ind w:left="991"/>
        <w:rPr>
          <w:rFonts w:ascii="Times New Roman" w:hAnsi="Times New Roman" w:eastAsia="楷体_GB2312"/>
          <w:sz w:val="24"/>
        </w:rPr>
      </w:pPr>
      <w:r>
        <w:rPr>
          <w:rFonts w:ascii="Times New Roman" w:hAnsi="Times New Roman" w:eastAsia="楷体_GB2312"/>
          <w:sz w:val="24"/>
        </w:rPr>
        <w:t>“信托”的“信托期限”自“信托设立日”起（含该日）至“信托终止日”（含该日）止，“信托”于“信托终止日”终止。</w:t>
      </w:r>
    </w:p>
    <w:p w14:paraId="6829676A">
      <w:pPr>
        <w:numPr>
          <w:ilvl w:val="1"/>
          <w:numId w:val="6"/>
        </w:numPr>
        <w:tabs>
          <w:tab w:val="left" w:pos="1134"/>
          <w:tab w:val="left" w:pos="1800"/>
        </w:tabs>
        <w:spacing w:before="156" w:beforeLines="50" w:after="156" w:afterLines="50" w:line="360" w:lineRule="auto"/>
        <w:rPr>
          <w:rFonts w:ascii="Times New Roman" w:hAnsi="Times New Roman" w:eastAsia="楷体_GB2312"/>
          <w:b/>
          <w:sz w:val="24"/>
        </w:rPr>
      </w:pPr>
      <w:bookmarkStart w:id="702" w:name="_Ref201647271"/>
      <w:r>
        <w:rPr>
          <w:rFonts w:ascii="Times New Roman" w:hAnsi="Times New Roman" w:eastAsia="楷体_GB2312"/>
          <w:b/>
          <w:sz w:val="24"/>
        </w:rPr>
        <w:t>信托的清算</w:t>
      </w:r>
      <w:bookmarkEnd w:id="702"/>
    </w:p>
    <w:p w14:paraId="177131D7">
      <w:pPr>
        <w:tabs>
          <w:tab w:val="left" w:pos="1134"/>
          <w:tab w:val="left" w:pos="1800"/>
        </w:tabs>
        <w:spacing w:before="156" w:beforeLines="50" w:after="156" w:afterLines="50" w:line="360" w:lineRule="auto"/>
        <w:ind w:left="992"/>
        <w:rPr>
          <w:rFonts w:ascii="Times New Roman" w:hAnsi="Times New Roman" w:eastAsia="楷体_GB2312"/>
          <w:b/>
          <w:i/>
          <w:iCs/>
          <w:color w:val="FF0000"/>
          <w:sz w:val="24"/>
        </w:rPr>
      </w:pPr>
      <w:r>
        <w:rPr>
          <w:rFonts w:ascii="Times New Roman" w:hAnsi="Times New Roman" w:eastAsia="楷体_GB2312"/>
          <w:b/>
          <w:i/>
          <w:iCs/>
          <w:color w:val="FF0000"/>
          <w:sz w:val="24"/>
        </w:rPr>
        <w:t>【注：清算程序</w:t>
      </w:r>
      <w:r>
        <w:rPr>
          <w:rFonts w:eastAsia="楷体_GB2312"/>
          <w:b/>
          <w:bCs/>
          <w:i/>
          <w:iCs/>
          <w:color w:val="FF0000"/>
          <w:sz w:val="24"/>
        </w:rPr>
        <w:t>和清算规则，可在法律允许范围内根据具体项目各方协商结果进行调整。</w:t>
      </w:r>
      <w:r>
        <w:rPr>
          <w:rFonts w:ascii="Times New Roman" w:hAnsi="Times New Roman" w:eastAsia="楷体_GB2312"/>
          <w:b/>
          <w:i/>
          <w:iCs/>
          <w:color w:val="FF0000"/>
          <w:sz w:val="24"/>
        </w:rPr>
        <w:t>】</w:t>
      </w:r>
    </w:p>
    <w:p w14:paraId="6C91C0E5">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“受托人”应于“信托终止日”后【】日（或“资产支持证券持有人大会”同意的其他更晚日期）内完成“信托财产”的清算：(i)清算“合格投资”；(ii)按本合同第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_Ref201641488 \r \h  \* MERGEFORMAT </w:instrText>
      </w:r>
      <w:r>
        <w:rPr>
          <w:rFonts w:ascii="Times New Roman" w:hAnsi="Times New Roman" w:eastAsia="楷体_GB2312"/>
          <w:sz w:val="24"/>
        </w:rPr>
        <w:fldChar w:fldCharType="separate"/>
      </w:r>
      <w:r>
        <w:rPr>
          <w:rFonts w:ascii="Times New Roman" w:hAnsi="Times New Roman" w:eastAsia="楷体_GB2312"/>
          <w:sz w:val="24"/>
        </w:rPr>
        <w:t>14.2.3</w:t>
      </w:r>
      <w:r>
        <w:rPr>
          <w:rFonts w:ascii="Times New Roman" w:hAnsi="Times New Roman" w:eastAsia="楷体_GB2312"/>
          <w:sz w:val="24"/>
        </w:rPr>
        <w:fldChar w:fldCharType="end"/>
      </w:r>
      <w:r>
        <w:rPr>
          <w:rFonts w:ascii="Times New Roman" w:hAnsi="Times New Roman" w:eastAsia="楷体_GB2312"/>
          <w:sz w:val="24"/>
        </w:rPr>
        <w:t>款约定清算除现金、存款及“合格投资”以外的“信托财产”（“非现金信托财产”）。</w:t>
      </w:r>
    </w:p>
    <w:p w14:paraId="2EA20F72">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如“优先级资产支持证券”</w:t>
      </w:r>
      <w:r>
        <w:rPr>
          <w:rFonts w:hint="eastAsia" w:ascii="Times New Roman" w:hAnsi="Times New Roman" w:eastAsia="楷体_GB2312"/>
          <w:sz w:val="24"/>
        </w:rPr>
        <w:t>本息</w:t>
      </w:r>
      <w:r>
        <w:rPr>
          <w:rFonts w:ascii="Times New Roman" w:hAnsi="Times New Roman" w:eastAsia="楷体_GB2312"/>
          <w:sz w:val="24"/>
        </w:rPr>
        <w:t>全部清偿完毕，</w:t>
      </w:r>
      <w:r>
        <w:rPr>
          <w:rFonts w:ascii="Times New Roman" w:hAnsi="Times New Roman" w:eastAsia="楷体_GB2312"/>
          <w:sz w:val="24"/>
          <w:szCs w:val="28"/>
        </w:rPr>
        <w:t>如届时“贷款服务机构”同时为“次级资产支持证券持有人”，</w:t>
      </w:r>
      <w:r>
        <w:rPr>
          <w:rFonts w:ascii="Times New Roman" w:hAnsi="Times New Roman" w:eastAsia="楷体_GB2312"/>
          <w:sz w:val="24"/>
        </w:rPr>
        <w:t>则“受托人”可按照本合同第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_Ref47872335 \r \h  \* MERGEFORMAT </w:instrText>
      </w:r>
      <w:r>
        <w:rPr>
          <w:rFonts w:ascii="Times New Roman" w:hAnsi="Times New Roman" w:eastAsia="楷体_GB2312"/>
          <w:sz w:val="24"/>
        </w:rPr>
        <w:fldChar w:fldCharType="separate"/>
      </w:r>
      <w:r>
        <w:rPr>
          <w:rFonts w:ascii="Times New Roman" w:hAnsi="Times New Roman" w:eastAsia="楷体_GB2312"/>
          <w:sz w:val="24"/>
        </w:rPr>
        <w:t>12.1.2</w:t>
      </w:r>
      <w:r>
        <w:rPr>
          <w:rFonts w:ascii="Times New Roman" w:hAnsi="Times New Roman" w:eastAsia="楷体_GB2312"/>
          <w:sz w:val="24"/>
        </w:rPr>
        <w:fldChar w:fldCharType="end"/>
      </w:r>
      <w:r>
        <w:rPr>
          <w:rFonts w:ascii="Times New Roman" w:hAnsi="Times New Roman" w:eastAsia="楷体_GB2312"/>
          <w:sz w:val="24"/>
        </w:rPr>
        <w:t>款至第</w:t>
      </w:r>
      <w:r>
        <w:rPr>
          <w:rFonts w:ascii="Times New Roman" w:hAnsi="Times New Roman" w:eastAsia="楷体_GB2312"/>
          <w:sz w:val="24"/>
        </w:rPr>
        <w:fldChar w:fldCharType="begin"/>
      </w:r>
      <w:r>
        <w:rPr>
          <w:rFonts w:ascii="Times New Roman" w:hAnsi="Times New Roman" w:eastAsia="楷体_GB2312"/>
          <w:sz w:val="24"/>
        </w:rPr>
        <w:instrText xml:space="preserve"> REF _Ref47870283 \r \h  \* MERGEFORMAT </w:instrText>
      </w:r>
      <w:r>
        <w:rPr>
          <w:rFonts w:ascii="Times New Roman" w:hAnsi="Times New Roman" w:eastAsia="楷体_GB2312"/>
          <w:sz w:val="24"/>
        </w:rPr>
        <w:fldChar w:fldCharType="separate"/>
      </w:r>
      <w:r>
        <w:rPr>
          <w:rFonts w:ascii="Times New Roman" w:hAnsi="Times New Roman" w:eastAsia="楷体_GB2312"/>
          <w:sz w:val="24"/>
        </w:rPr>
        <w:t>12.1.4</w:t>
      </w:r>
      <w:r>
        <w:rPr>
          <w:rFonts w:ascii="Times New Roman" w:hAnsi="Times New Roman" w:eastAsia="楷体_GB2312"/>
          <w:sz w:val="24"/>
        </w:rPr>
        <w:fldChar w:fldCharType="end"/>
      </w:r>
      <w:r>
        <w:rPr>
          <w:rFonts w:ascii="Times New Roman" w:hAnsi="Times New Roman" w:eastAsia="楷体_GB2312"/>
          <w:sz w:val="24"/>
        </w:rPr>
        <w:t>款的约定按照“次级资产支持证券持有人”届时达成的“资产处置方案”或原状分配方案分配相应的剩余“信托财产”。</w:t>
      </w:r>
    </w:p>
    <w:p w14:paraId="1A3764CE">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“信托”终止后若存在“非现金信托财产”，“受托人”应于“信托终止日”后及时制订“非现金信托财产”的清算方案（“清算方案”），并于“信托终止日”后【】日内按照本合同第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_Ref347323733 \r \h  \* MERGEFORMAT </w:instrText>
      </w:r>
      <w:r>
        <w:rPr>
          <w:rFonts w:ascii="Times New Roman" w:hAnsi="Times New Roman" w:eastAsia="楷体_GB2312"/>
          <w:sz w:val="24"/>
        </w:rPr>
        <w:fldChar w:fldCharType="separate"/>
      </w:r>
      <w:r>
        <w:rPr>
          <w:rFonts w:ascii="Times New Roman" w:hAnsi="Times New Roman" w:eastAsia="楷体_GB2312"/>
          <w:sz w:val="24"/>
        </w:rPr>
        <w:t>19</w:t>
      </w:r>
      <w:r>
        <w:rPr>
          <w:rFonts w:ascii="Times New Roman" w:hAnsi="Times New Roman" w:eastAsia="楷体_GB2312"/>
          <w:sz w:val="24"/>
        </w:rPr>
        <w:fldChar w:fldCharType="end"/>
      </w:r>
      <w:r>
        <w:rPr>
          <w:rFonts w:ascii="Times New Roman" w:hAnsi="Times New Roman" w:eastAsia="楷体_GB2312"/>
          <w:sz w:val="24"/>
        </w:rPr>
        <w:t>条的约定召集“资产支持证券持有人大会”，由“资产支持证券持有人大会”就是否认可“清算方案”作出决议，“受托人”应同时就清算产生的“回收款”分配时间及其他与清算有关事项提请“资产支持证券持有人大会”做出决议。在“资产支持证券持有人大会”就“信托财产”的“清算方案”尚未形成决议之前，“受托人”仍应继续按照本合同及其他“交易文件”约定的方式管理、处分和运用“信托财产”。</w:t>
      </w:r>
    </w:p>
    <w:p w14:paraId="5A22E4E3">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bookmarkStart w:id="703" w:name="_Ref201641488"/>
      <w:r>
        <w:rPr>
          <w:rFonts w:ascii="Times New Roman" w:hAnsi="Times New Roman" w:eastAsia="楷体_GB2312"/>
          <w:sz w:val="24"/>
        </w:rPr>
        <w:t>“资产支持证券持有人大会”就“清算方案”形成有效决议的，“受托人”应当按照“资产支持证券持有人大会”认可的“清算方案”清算“非现金信托财产”；“资产支持证券持有人大会”未能就“清算方案”形成有效决议的，除非“资产支持证券持有人大会”另有规定，“受托人”有权按照相关“法律”规定以公开拍卖、变卖等方式清算“非现金信托财产”，全体“资产支持证券持有人”及“委托人”对“受托人”的处理方式及结果表示认可。</w:t>
      </w:r>
      <w:bookmarkEnd w:id="703"/>
    </w:p>
    <w:p w14:paraId="07B3BF32">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受托人应当按照本合同第</w:t>
      </w:r>
      <w:r>
        <w:rPr>
          <w:rFonts w:ascii="Times New Roman" w:hAnsi="Times New Roman" w:eastAsia="楷体_GB2312"/>
          <w:sz w:val="24"/>
        </w:rPr>
        <w:fldChar w:fldCharType="begin"/>
      </w:r>
      <w:r>
        <w:rPr>
          <w:rFonts w:ascii="Times New Roman" w:hAnsi="Times New Roman" w:eastAsia="楷体_GB2312"/>
          <w:sz w:val="24"/>
        </w:rPr>
        <w:instrText xml:space="preserve">REF _Ref350866176 \r \h \* MERGEFORMAT </w:instrText>
      </w:r>
      <w:r>
        <w:rPr>
          <w:rFonts w:ascii="Times New Roman" w:hAnsi="Times New Roman" w:eastAsia="楷体_GB2312"/>
          <w:sz w:val="24"/>
        </w:rPr>
        <w:fldChar w:fldCharType="separate"/>
      </w:r>
      <w:r>
        <w:rPr>
          <w:rFonts w:ascii="Times New Roman" w:hAnsi="Times New Roman" w:eastAsia="楷体_GB2312"/>
          <w:sz w:val="24"/>
        </w:rPr>
        <w:t>11.7</w:t>
      </w:r>
      <w:r>
        <w:rPr>
          <w:rFonts w:ascii="Times New Roman" w:hAnsi="Times New Roman" w:eastAsia="楷体_GB2312"/>
          <w:sz w:val="24"/>
        </w:rPr>
        <w:fldChar w:fldCharType="end"/>
      </w:r>
      <w:r>
        <w:rPr>
          <w:rFonts w:ascii="Times New Roman" w:hAnsi="Times New Roman" w:eastAsia="楷体_GB2312"/>
          <w:sz w:val="24"/>
        </w:rPr>
        <w:t>款以及“资产支持证券持有人大会”决议的方式对“回收款”进行分配。在“信托终止日”后，各档“资产支持证券”的利率仍按照“票面利率”（如有）计算。</w:t>
      </w:r>
    </w:p>
    <w:p w14:paraId="15BA95C4">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受托人”应于“信托财产”清算完毕之日后【】日内依法出具信托清算报告，该信托清算报告应经“审计师”的审计。“审计师”就信托清算报告出具审计报告后【】个“工作日”内，“受托人”应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_Ref336008034 \r \h  \* MERGEFORMAT </w:instrText>
      </w:r>
      <w:r>
        <w:rPr>
          <w:rFonts w:ascii="Times New Roman" w:hAnsi="Times New Roman" w:eastAsia="楷体_GB2312"/>
          <w:sz w:val="24"/>
        </w:rPr>
        <w:fldChar w:fldCharType="separate"/>
      </w:r>
      <w:r>
        <w:rPr>
          <w:rFonts w:ascii="Times New Roman" w:hAnsi="Times New Roman" w:eastAsia="楷体_GB2312"/>
          <w:sz w:val="24"/>
        </w:rPr>
        <w:t>21</w:t>
      </w:r>
      <w:r>
        <w:rPr>
          <w:rFonts w:ascii="Times New Roman" w:hAnsi="Times New Roman" w:eastAsia="楷体_GB2312"/>
          <w:sz w:val="24"/>
        </w:rPr>
        <w:fldChar w:fldCharType="end"/>
      </w:r>
      <w:r>
        <w:rPr>
          <w:rFonts w:ascii="Times New Roman" w:hAnsi="Times New Roman" w:eastAsia="楷体_GB2312"/>
          <w:sz w:val="24"/>
        </w:rPr>
        <w:t>条的约定披露经审计的信托清算报告。</w:t>
      </w:r>
    </w:p>
    <w:p w14:paraId="32104750">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信托清算报告公告届满【】日，“信托终止日”时“资产支持证券”未兑付完毕的“资产支持证券持有人”（如“信托终止日”时“资产支持证券”均已兑付完毕，则指“次级资产支持证券持有人”）未提出异议的，“受托人”就信托清算报告所列事项解除责任，但因“受托人”的不当行为、过失、欺诈和违约而引起的责任除外。</w:t>
      </w:r>
    </w:p>
    <w:p w14:paraId="358C8A00">
      <w:pPr>
        <w:numPr>
          <w:ilvl w:val="0"/>
          <w:numId w:val="6"/>
        </w:numPr>
        <w:spacing w:before="156" w:beforeLines="50" w:after="156" w:afterLines="50" w:line="360" w:lineRule="auto"/>
        <w:outlineLvl w:val="0"/>
        <w:rPr>
          <w:rFonts w:ascii="Times New Roman" w:hAnsi="Times New Roman" w:eastAsia="楷体_GB2312"/>
          <w:b/>
          <w:sz w:val="24"/>
        </w:rPr>
      </w:pPr>
      <w:bookmarkStart w:id="704" w:name="_Toc340398085"/>
      <w:bookmarkEnd w:id="704"/>
      <w:bookmarkStart w:id="705" w:name="_Toc340398034"/>
      <w:bookmarkEnd w:id="705"/>
      <w:bookmarkStart w:id="706" w:name="_Toc340397763"/>
      <w:bookmarkEnd w:id="706"/>
      <w:bookmarkStart w:id="707" w:name="_Toc340398136"/>
      <w:bookmarkEnd w:id="707"/>
      <w:bookmarkStart w:id="708" w:name="_Toc340398167"/>
      <w:bookmarkEnd w:id="708"/>
      <w:bookmarkStart w:id="709" w:name="_Toc340397708"/>
      <w:bookmarkEnd w:id="709"/>
      <w:bookmarkStart w:id="710" w:name="_Toc340398162"/>
      <w:bookmarkEnd w:id="710"/>
      <w:bookmarkStart w:id="711" w:name="_Toc340398149"/>
      <w:bookmarkEnd w:id="711"/>
      <w:bookmarkStart w:id="712" w:name="_Toc340397720"/>
      <w:bookmarkEnd w:id="712"/>
      <w:bookmarkStart w:id="713" w:name="_Toc340398166"/>
      <w:bookmarkEnd w:id="713"/>
      <w:bookmarkStart w:id="714" w:name="_Toc340397746"/>
      <w:bookmarkEnd w:id="714"/>
      <w:bookmarkStart w:id="715" w:name="_Toc340398170"/>
      <w:bookmarkEnd w:id="715"/>
      <w:bookmarkStart w:id="716" w:name="_Toc340397634"/>
      <w:bookmarkEnd w:id="716"/>
      <w:bookmarkStart w:id="717" w:name="_Toc340398019"/>
      <w:bookmarkEnd w:id="717"/>
      <w:bookmarkStart w:id="718" w:name="_Toc340398092"/>
      <w:bookmarkEnd w:id="718"/>
      <w:bookmarkStart w:id="719" w:name="_Toc340397650"/>
      <w:bookmarkEnd w:id="719"/>
      <w:bookmarkStart w:id="720" w:name="_Toc340397772"/>
      <w:bookmarkEnd w:id="720"/>
      <w:bookmarkStart w:id="721" w:name="_Toc340398155"/>
      <w:bookmarkEnd w:id="721"/>
      <w:bookmarkStart w:id="722" w:name="_Toc340398043"/>
      <w:bookmarkEnd w:id="722"/>
      <w:bookmarkStart w:id="723" w:name="_Toc340397617"/>
      <w:bookmarkEnd w:id="723"/>
      <w:bookmarkStart w:id="724" w:name="_Toc340397750"/>
      <w:bookmarkEnd w:id="724"/>
      <w:bookmarkStart w:id="725" w:name="_Toc340397653"/>
      <w:bookmarkEnd w:id="725"/>
      <w:bookmarkStart w:id="726" w:name="_Toc340398105"/>
      <w:bookmarkEnd w:id="726"/>
      <w:bookmarkStart w:id="727" w:name="_Toc340398046"/>
      <w:bookmarkEnd w:id="727"/>
      <w:bookmarkStart w:id="728" w:name="_Toc340398171"/>
      <w:bookmarkEnd w:id="728"/>
      <w:bookmarkStart w:id="729" w:name="_Toc340397773"/>
      <w:bookmarkEnd w:id="729"/>
      <w:bookmarkStart w:id="730" w:name="_Toc340398061"/>
      <w:bookmarkEnd w:id="730"/>
      <w:bookmarkStart w:id="731" w:name="_Toc340398031"/>
      <w:bookmarkEnd w:id="731"/>
      <w:bookmarkStart w:id="732" w:name="_Toc340398035"/>
      <w:bookmarkEnd w:id="732"/>
      <w:bookmarkStart w:id="733" w:name="_Toc340398095"/>
      <w:bookmarkEnd w:id="733"/>
      <w:bookmarkStart w:id="734" w:name="_Toc340397741"/>
      <w:bookmarkEnd w:id="734"/>
      <w:bookmarkStart w:id="735" w:name="_Toc340398098"/>
      <w:bookmarkEnd w:id="735"/>
      <w:bookmarkStart w:id="736" w:name="_Toc340397651"/>
      <w:bookmarkEnd w:id="736"/>
      <w:bookmarkStart w:id="737" w:name="_Toc340397629"/>
      <w:bookmarkEnd w:id="737"/>
      <w:bookmarkStart w:id="738" w:name="_Toc340397710"/>
      <w:bookmarkEnd w:id="738"/>
      <w:bookmarkStart w:id="739" w:name="_Toc340397748"/>
      <w:bookmarkEnd w:id="739"/>
      <w:bookmarkStart w:id="740" w:name="_Toc340397764"/>
      <w:bookmarkEnd w:id="740"/>
      <w:bookmarkStart w:id="741" w:name="_Toc340396533"/>
      <w:bookmarkEnd w:id="741"/>
      <w:bookmarkStart w:id="742" w:name="_Toc340398042"/>
      <w:bookmarkEnd w:id="742"/>
      <w:bookmarkStart w:id="743" w:name="_Toc340398134"/>
      <w:bookmarkEnd w:id="743"/>
      <w:bookmarkStart w:id="744" w:name="_Toc340398150"/>
      <w:bookmarkEnd w:id="744"/>
      <w:bookmarkStart w:id="745" w:name="_Toc340398163"/>
      <w:bookmarkEnd w:id="745"/>
      <w:bookmarkStart w:id="746" w:name="_Toc340397697"/>
      <w:bookmarkEnd w:id="746"/>
      <w:bookmarkStart w:id="747" w:name="_Toc340398151"/>
      <w:bookmarkEnd w:id="747"/>
      <w:bookmarkStart w:id="748" w:name="_Toc340398133"/>
      <w:bookmarkEnd w:id="748"/>
      <w:bookmarkStart w:id="749" w:name="_Toc340397780"/>
      <w:bookmarkEnd w:id="749"/>
      <w:bookmarkStart w:id="750" w:name="_DV_M493"/>
      <w:bookmarkEnd w:id="750"/>
      <w:bookmarkStart w:id="751" w:name="_Toc340397611"/>
      <w:bookmarkEnd w:id="751"/>
      <w:bookmarkStart w:id="752" w:name="_Toc340397774"/>
      <w:bookmarkEnd w:id="752"/>
      <w:bookmarkStart w:id="753" w:name="_Toc340397766"/>
      <w:bookmarkEnd w:id="753"/>
      <w:bookmarkStart w:id="754" w:name="_Toc340398152"/>
      <w:bookmarkEnd w:id="754"/>
      <w:bookmarkStart w:id="755" w:name="_DV_M470"/>
      <w:bookmarkEnd w:id="755"/>
      <w:bookmarkStart w:id="756" w:name="_Toc340397788"/>
      <w:bookmarkEnd w:id="756"/>
      <w:bookmarkStart w:id="757" w:name="_Toc340398007"/>
      <w:bookmarkEnd w:id="757"/>
      <w:bookmarkStart w:id="758" w:name="_Toc340398161"/>
      <w:bookmarkEnd w:id="758"/>
      <w:bookmarkStart w:id="759" w:name="_Toc340398164"/>
      <w:bookmarkEnd w:id="759"/>
      <w:bookmarkStart w:id="760" w:name="_Toc110370665"/>
      <w:bookmarkEnd w:id="760"/>
      <w:bookmarkStart w:id="761" w:name="_Toc340397768"/>
      <w:bookmarkEnd w:id="761"/>
      <w:bookmarkStart w:id="762" w:name="_Toc340397761"/>
      <w:bookmarkEnd w:id="762"/>
      <w:bookmarkStart w:id="763" w:name="_Toc340398012"/>
      <w:bookmarkEnd w:id="763"/>
      <w:bookmarkStart w:id="764" w:name="_Toc340398114"/>
      <w:bookmarkEnd w:id="764"/>
      <w:bookmarkStart w:id="765" w:name="_Toc340398048"/>
      <w:bookmarkEnd w:id="765"/>
      <w:bookmarkStart w:id="766" w:name="_Toc340398102"/>
      <w:bookmarkEnd w:id="766"/>
      <w:bookmarkStart w:id="767" w:name="_Toc340397616"/>
      <w:bookmarkEnd w:id="767"/>
      <w:bookmarkStart w:id="768" w:name="_Toc340397707"/>
      <w:bookmarkEnd w:id="768"/>
      <w:bookmarkStart w:id="769" w:name="_Toc340397725"/>
      <w:bookmarkEnd w:id="769"/>
      <w:bookmarkStart w:id="770" w:name="_Toc340398159"/>
      <w:bookmarkEnd w:id="770"/>
      <w:bookmarkStart w:id="771" w:name="_Toc340397657"/>
      <w:bookmarkEnd w:id="771"/>
      <w:bookmarkStart w:id="772" w:name="_Toc340397759"/>
      <w:bookmarkEnd w:id="772"/>
      <w:bookmarkStart w:id="773" w:name="_Toc340397664"/>
      <w:bookmarkEnd w:id="773"/>
      <w:bookmarkStart w:id="774" w:name="_Toc340398179"/>
      <w:bookmarkEnd w:id="774"/>
      <w:bookmarkStart w:id="775" w:name="_DV_M491"/>
      <w:bookmarkEnd w:id="775"/>
      <w:bookmarkStart w:id="776" w:name="_Toc340398110"/>
      <w:bookmarkEnd w:id="776"/>
      <w:bookmarkStart w:id="777" w:name="_Toc340397744"/>
      <w:bookmarkEnd w:id="777"/>
      <w:bookmarkStart w:id="778" w:name="_Toc340398096"/>
      <w:bookmarkEnd w:id="778"/>
      <w:bookmarkStart w:id="779" w:name="_Toc340398169"/>
      <w:bookmarkEnd w:id="779"/>
      <w:bookmarkStart w:id="780" w:name="_Toc340397622"/>
      <w:bookmarkEnd w:id="780"/>
      <w:bookmarkStart w:id="781" w:name="_Toc340398158"/>
      <w:bookmarkEnd w:id="781"/>
      <w:bookmarkStart w:id="782" w:name="_Toc340398174"/>
      <w:bookmarkEnd w:id="782"/>
      <w:bookmarkStart w:id="783" w:name="_Toc340398100"/>
      <w:bookmarkEnd w:id="783"/>
      <w:bookmarkStart w:id="784" w:name="_Toc340398157"/>
      <w:bookmarkEnd w:id="784"/>
      <w:bookmarkStart w:id="785" w:name="_Toc340397781"/>
      <w:bookmarkEnd w:id="785"/>
      <w:bookmarkStart w:id="786" w:name="_DV_M489"/>
      <w:bookmarkEnd w:id="786"/>
      <w:bookmarkStart w:id="787" w:name="_Toc340397769"/>
      <w:bookmarkEnd w:id="787"/>
      <w:bookmarkStart w:id="788" w:name="_DV_M488"/>
      <w:bookmarkEnd w:id="788"/>
      <w:bookmarkStart w:id="789" w:name="_Toc340398168"/>
      <w:bookmarkEnd w:id="789"/>
      <w:bookmarkStart w:id="790" w:name="_Toc340397718"/>
      <w:bookmarkEnd w:id="790"/>
      <w:bookmarkStart w:id="791" w:name="_Toc340398172"/>
      <w:bookmarkEnd w:id="791"/>
      <w:bookmarkStart w:id="792" w:name="_Toc340397776"/>
      <w:bookmarkEnd w:id="792"/>
      <w:bookmarkStart w:id="793" w:name="_Toc340398180"/>
      <w:bookmarkEnd w:id="793"/>
      <w:bookmarkStart w:id="794" w:name="_Toc340397787"/>
      <w:bookmarkEnd w:id="794"/>
      <w:bookmarkStart w:id="795" w:name="_Toc340397639"/>
      <w:bookmarkEnd w:id="795"/>
      <w:bookmarkStart w:id="796" w:name="_Toc340397709"/>
      <w:bookmarkEnd w:id="796"/>
      <w:bookmarkStart w:id="797" w:name="_Toc340397632"/>
      <w:bookmarkEnd w:id="797"/>
      <w:bookmarkStart w:id="798" w:name="_Toc340397752"/>
      <w:bookmarkEnd w:id="798"/>
      <w:bookmarkStart w:id="799" w:name="_Toc340397694"/>
      <w:bookmarkEnd w:id="799"/>
      <w:bookmarkStart w:id="800" w:name="_Toc340398178"/>
      <w:bookmarkEnd w:id="800"/>
      <w:bookmarkStart w:id="801" w:name="_Toc340398062"/>
      <w:bookmarkEnd w:id="801"/>
      <w:bookmarkStart w:id="802" w:name="_Toc340397640"/>
      <w:bookmarkEnd w:id="802"/>
      <w:bookmarkStart w:id="803" w:name="_Toc340398038"/>
      <w:bookmarkEnd w:id="803"/>
      <w:bookmarkStart w:id="804" w:name="_Toc340398079"/>
      <w:bookmarkEnd w:id="804"/>
      <w:bookmarkStart w:id="805" w:name="_Toc340398101"/>
      <w:bookmarkEnd w:id="805"/>
      <w:bookmarkStart w:id="806" w:name="_Toc340398146"/>
      <w:bookmarkEnd w:id="806"/>
      <w:bookmarkStart w:id="807" w:name="_Toc340398024"/>
      <w:bookmarkEnd w:id="807"/>
      <w:bookmarkStart w:id="808" w:name="_Toc340398115"/>
      <w:bookmarkEnd w:id="808"/>
      <w:bookmarkStart w:id="809" w:name="_Toc340397717"/>
      <w:bookmarkEnd w:id="809"/>
      <w:bookmarkStart w:id="810" w:name="_Toc340397765"/>
      <w:bookmarkEnd w:id="810"/>
      <w:bookmarkStart w:id="811" w:name="_Toc340398050"/>
      <w:bookmarkEnd w:id="811"/>
      <w:bookmarkStart w:id="812" w:name="_Toc340397671"/>
      <w:bookmarkEnd w:id="812"/>
      <w:bookmarkStart w:id="813" w:name="_Toc340397662"/>
      <w:bookmarkEnd w:id="813"/>
      <w:bookmarkStart w:id="814" w:name="_Toc340397652"/>
      <w:bookmarkEnd w:id="814"/>
      <w:bookmarkStart w:id="815" w:name="_Toc340398091"/>
      <w:bookmarkEnd w:id="815"/>
      <w:bookmarkStart w:id="816" w:name="_Toc340398069"/>
      <w:bookmarkEnd w:id="816"/>
      <w:bookmarkStart w:id="817" w:name="_Toc340397648"/>
      <w:bookmarkEnd w:id="817"/>
      <w:bookmarkStart w:id="818" w:name="_Toc340397691"/>
      <w:bookmarkEnd w:id="818"/>
      <w:bookmarkStart w:id="819" w:name="_Toc340397679"/>
      <w:bookmarkEnd w:id="819"/>
      <w:bookmarkStart w:id="820" w:name="_Toc340397698"/>
      <w:bookmarkEnd w:id="820"/>
      <w:bookmarkStart w:id="821" w:name="_Toc340398003"/>
      <w:bookmarkEnd w:id="821"/>
      <w:bookmarkStart w:id="822" w:name="_Toc340398103"/>
      <w:bookmarkEnd w:id="822"/>
      <w:bookmarkStart w:id="823" w:name="_Toc340397663"/>
      <w:bookmarkEnd w:id="823"/>
      <w:bookmarkStart w:id="824" w:name="_Toc340397767"/>
      <w:bookmarkEnd w:id="824"/>
      <w:bookmarkStart w:id="825" w:name="_Toc340398036"/>
      <w:bookmarkEnd w:id="825"/>
      <w:bookmarkStart w:id="826" w:name="_Toc340398063"/>
      <w:bookmarkEnd w:id="826"/>
      <w:bookmarkStart w:id="827" w:name="_Toc340397784"/>
      <w:bookmarkEnd w:id="827"/>
      <w:bookmarkStart w:id="828" w:name="_Toc340397621"/>
      <w:bookmarkEnd w:id="828"/>
      <w:bookmarkStart w:id="829" w:name="_Toc340398154"/>
      <w:bookmarkEnd w:id="829"/>
      <w:bookmarkStart w:id="830" w:name="_Toc340397654"/>
      <w:bookmarkEnd w:id="830"/>
      <w:bookmarkStart w:id="831" w:name="_Toc340397715"/>
      <w:bookmarkEnd w:id="831"/>
      <w:bookmarkStart w:id="832" w:name="_Toc340397745"/>
      <w:bookmarkEnd w:id="832"/>
      <w:bookmarkStart w:id="833" w:name="_Toc340397714"/>
      <w:bookmarkEnd w:id="833"/>
      <w:bookmarkStart w:id="834" w:name="_Toc340397699"/>
      <w:bookmarkEnd w:id="834"/>
      <w:bookmarkStart w:id="835" w:name="_Toc340398029"/>
      <w:bookmarkEnd w:id="835"/>
      <w:bookmarkStart w:id="836" w:name="_Toc340398025"/>
      <w:bookmarkEnd w:id="836"/>
      <w:bookmarkStart w:id="837" w:name="_Toc340398022"/>
      <w:bookmarkEnd w:id="837"/>
      <w:bookmarkStart w:id="838" w:name="_Toc340397782"/>
      <w:bookmarkEnd w:id="838"/>
      <w:bookmarkStart w:id="839" w:name="_Toc340398052"/>
      <w:bookmarkEnd w:id="839"/>
      <w:bookmarkStart w:id="840" w:name="_Toc340398083"/>
      <w:bookmarkEnd w:id="840"/>
      <w:bookmarkStart w:id="841" w:name="_Toc340397713"/>
      <w:bookmarkEnd w:id="841"/>
      <w:bookmarkStart w:id="842" w:name="_Toc340397633"/>
      <w:bookmarkEnd w:id="842"/>
      <w:bookmarkStart w:id="843" w:name="_Toc340398011"/>
      <w:bookmarkEnd w:id="843"/>
      <w:bookmarkStart w:id="844" w:name="_Toc340398066"/>
      <w:bookmarkEnd w:id="844"/>
      <w:bookmarkStart w:id="845" w:name="_DV_M492"/>
      <w:bookmarkEnd w:id="845"/>
      <w:bookmarkStart w:id="846" w:name="_Toc340398113"/>
      <w:bookmarkEnd w:id="846"/>
      <w:bookmarkStart w:id="847" w:name="_Toc340397623"/>
      <w:bookmarkEnd w:id="847"/>
      <w:bookmarkStart w:id="848" w:name="_Toc204504299"/>
      <w:bookmarkEnd w:id="848"/>
      <w:bookmarkStart w:id="849" w:name="_Toc340397778"/>
      <w:bookmarkEnd w:id="849"/>
      <w:bookmarkStart w:id="850" w:name="_Toc340398084"/>
      <w:bookmarkEnd w:id="850"/>
      <w:bookmarkStart w:id="851" w:name="_Toc340398016"/>
      <w:bookmarkEnd w:id="851"/>
      <w:bookmarkStart w:id="852" w:name="_Toc340398104"/>
      <w:bookmarkEnd w:id="852"/>
      <w:bookmarkStart w:id="853" w:name="_DV_M490"/>
      <w:bookmarkEnd w:id="853"/>
      <w:bookmarkStart w:id="854" w:name="_Toc340397661"/>
      <w:bookmarkEnd w:id="854"/>
      <w:bookmarkStart w:id="855" w:name="_Toc340397682"/>
      <w:bookmarkEnd w:id="855"/>
      <w:bookmarkStart w:id="856" w:name="_Toc340398073"/>
      <w:bookmarkEnd w:id="856"/>
      <w:bookmarkStart w:id="857" w:name="_Toc340398047"/>
      <w:bookmarkEnd w:id="857"/>
      <w:bookmarkStart w:id="858" w:name="_Toc340397719"/>
      <w:bookmarkEnd w:id="858"/>
      <w:bookmarkStart w:id="859" w:name="_Toc340398106"/>
      <w:bookmarkEnd w:id="859"/>
      <w:bookmarkStart w:id="860" w:name="_Toc340397625"/>
      <w:bookmarkEnd w:id="860"/>
      <w:bookmarkStart w:id="861" w:name="_Toc340398145"/>
      <w:bookmarkEnd w:id="861"/>
      <w:bookmarkStart w:id="862" w:name="_Toc340397689"/>
      <w:bookmarkEnd w:id="862"/>
      <w:bookmarkStart w:id="863" w:name="_Toc340398040"/>
      <w:bookmarkEnd w:id="863"/>
      <w:bookmarkStart w:id="864" w:name="_Toc340398112"/>
      <w:bookmarkEnd w:id="864"/>
      <w:bookmarkStart w:id="865" w:name="_Toc340398147"/>
      <w:bookmarkEnd w:id="865"/>
      <w:bookmarkStart w:id="866" w:name="_Toc340397670"/>
      <w:bookmarkEnd w:id="866"/>
      <w:bookmarkStart w:id="867" w:name="_Toc340398108"/>
      <w:bookmarkEnd w:id="867"/>
      <w:bookmarkStart w:id="868" w:name="_Toc340398107"/>
      <w:bookmarkEnd w:id="868"/>
      <w:bookmarkStart w:id="869" w:name="_Toc340398068"/>
      <w:bookmarkEnd w:id="869"/>
      <w:bookmarkStart w:id="870" w:name="_Toc340397659"/>
      <w:bookmarkEnd w:id="870"/>
      <w:bookmarkStart w:id="871" w:name="_Toc340398023"/>
      <w:bookmarkEnd w:id="871"/>
      <w:bookmarkStart w:id="872" w:name="_Toc340398041"/>
      <w:bookmarkEnd w:id="872"/>
      <w:bookmarkStart w:id="873" w:name="_Toc340397684"/>
      <w:bookmarkEnd w:id="873"/>
      <w:bookmarkStart w:id="874" w:name="_Toc340397758"/>
      <w:bookmarkEnd w:id="874"/>
      <w:bookmarkStart w:id="875" w:name="_Toc340398090"/>
      <w:bookmarkEnd w:id="875"/>
      <w:bookmarkStart w:id="876" w:name="_Toc340398075"/>
      <w:bookmarkEnd w:id="876"/>
      <w:bookmarkStart w:id="877" w:name="_Toc340397755"/>
      <w:bookmarkEnd w:id="877"/>
      <w:bookmarkStart w:id="878" w:name="_Toc340398009"/>
      <w:bookmarkEnd w:id="878"/>
      <w:bookmarkStart w:id="879" w:name="_Toc340397753"/>
      <w:bookmarkEnd w:id="879"/>
      <w:bookmarkStart w:id="880" w:name="_Toc340398142"/>
      <w:bookmarkEnd w:id="880"/>
      <w:bookmarkStart w:id="881" w:name="_Toc340397742"/>
      <w:bookmarkEnd w:id="881"/>
      <w:bookmarkStart w:id="882" w:name="_Toc340397762"/>
      <w:bookmarkEnd w:id="882"/>
      <w:bookmarkStart w:id="883" w:name="_Toc340397631"/>
      <w:bookmarkEnd w:id="883"/>
      <w:bookmarkStart w:id="884" w:name="_Toc340398080"/>
      <w:bookmarkEnd w:id="884"/>
      <w:bookmarkStart w:id="885" w:name="_Toc340398135"/>
      <w:bookmarkEnd w:id="885"/>
      <w:bookmarkStart w:id="886" w:name="_Toc340398071"/>
      <w:bookmarkEnd w:id="886"/>
      <w:bookmarkStart w:id="887" w:name="_Toc340397643"/>
      <w:bookmarkEnd w:id="887"/>
      <w:bookmarkStart w:id="888" w:name="_Toc340398139"/>
      <w:bookmarkEnd w:id="888"/>
      <w:bookmarkStart w:id="889" w:name="_Toc340397754"/>
      <w:bookmarkEnd w:id="889"/>
      <w:bookmarkStart w:id="890" w:name="_Toc340397680"/>
      <w:bookmarkEnd w:id="890"/>
      <w:bookmarkStart w:id="891" w:name="_Toc340398020"/>
      <w:bookmarkEnd w:id="891"/>
      <w:bookmarkStart w:id="892" w:name="_Toc340398072"/>
      <w:bookmarkEnd w:id="892"/>
      <w:bookmarkStart w:id="893" w:name="_Toc340397756"/>
      <w:bookmarkEnd w:id="893"/>
      <w:bookmarkStart w:id="894" w:name="_Toc340398039"/>
      <w:bookmarkEnd w:id="894"/>
      <w:bookmarkStart w:id="895" w:name="_Toc340397637"/>
      <w:bookmarkEnd w:id="895"/>
      <w:bookmarkStart w:id="896" w:name="_Toc340397712"/>
      <w:bookmarkEnd w:id="896"/>
      <w:bookmarkStart w:id="897" w:name="_Toc340398082"/>
      <w:bookmarkEnd w:id="897"/>
      <w:bookmarkStart w:id="898" w:name="_DV_M464"/>
      <w:bookmarkEnd w:id="898"/>
      <w:bookmarkStart w:id="899" w:name="_Toc340397644"/>
      <w:bookmarkEnd w:id="899"/>
      <w:bookmarkStart w:id="900" w:name="_Toc340397690"/>
      <w:bookmarkEnd w:id="900"/>
      <w:bookmarkStart w:id="901" w:name="_Toc340397723"/>
      <w:bookmarkEnd w:id="901"/>
      <w:bookmarkStart w:id="902" w:name="_Toc340397734"/>
      <w:bookmarkEnd w:id="902"/>
      <w:bookmarkStart w:id="903" w:name="_Toc340398037"/>
      <w:bookmarkEnd w:id="903"/>
      <w:bookmarkStart w:id="904" w:name="_Toc340397747"/>
      <w:bookmarkEnd w:id="904"/>
      <w:bookmarkStart w:id="905" w:name="_Toc340398125"/>
      <w:bookmarkEnd w:id="905"/>
      <w:bookmarkStart w:id="906" w:name="_DV_M468"/>
      <w:bookmarkEnd w:id="906"/>
      <w:bookmarkStart w:id="907" w:name="_Toc340398123"/>
      <w:bookmarkEnd w:id="907"/>
      <w:bookmarkStart w:id="908" w:name="_Toc340397726"/>
      <w:bookmarkEnd w:id="908"/>
      <w:bookmarkStart w:id="909" w:name="_DV_M462"/>
      <w:bookmarkEnd w:id="909"/>
      <w:bookmarkStart w:id="910" w:name="_DV_M472"/>
      <w:bookmarkEnd w:id="910"/>
      <w:bookmarkStart w:id="911" w:name="_Toc340398120"/>
      <w:bookmarkEnd w:id="911"/>
      <w:bookmarkStart w:id="912" w:name="_Toc340397704"/>
      <w:bookmarkEnd w:id="912"/>
      <w:bookmarkStart w:id="913" w:name="_Toc340397727"/>
      <w:bookmarkEnd w:id="913"/>
      <w:bookmarkStart w:id="914" w:name="_Toc340397615"/>
      <w:bookmarkEnd w:id="914"/>
      <w:bookmarkStart w:id="915" w:name="_Toc340398070"/>
      <w:bookmarkEnd w:id="915"/>
      <w:bookmarkStart w:id="916" w:name="_Toc340397645"/>
      <w:bookmarkEnd w:id="916"/>
      <w:bookmarkStart w:id="917" w:name="_Toc340398122"/>
      <w:bookmarkEnd w:id="917"/>
      <w:bookmarkStart w:id="918" w:name="_DV_M471"/>
      <w:bookmarkEnd w:id="918"/>
      <w:bookmarkStart w:id="919" w:name="_Toc340398130"/>
      <w:bookmarkEnd w:id="919"/>
      <w:bookmarkStart w:id="920" w:name="_Toc340398021"/>
      <w:bookmarkEnd w:id="920"/>
      <w:bookmarkStart w:id="921" w:name="_Toc340398005"/>
      <w:bookmarkEnd w:id="921"/>
      <w:bookmarkStart w:id="922" w:name="_DV_M479"/>
      <w:bookmarkEnd w:id="922"/>
      <w:bookmarkStart w:id="923" w:name="_Toc340398126"/>
      <w:bookmarkEnd w:id="923"/>
      <w:bookmarkStart w:id="924" w:name="_Toc340398117"/>
      <w:bookmarkEnd w:id="924"/>
      <w:bookmarkStart w:id="925" w:name="_Toc340398055"/>
      <w:bookmarkEnd w:id="925"/>
      <w:bookmarkStart w:id="926" w:name="_DV_M467"/>
      <w:bookmarkEnd w:id="926"/>
      <w:bookmarkStart w:id="927" w:name="_Toc340397702"/>
      <w:bookmarkEnd w:id="927"/>
      <w:bookmarkStart w:id="928" w:name="_Toc340397739"/>
      <w:bookmarkEnd w:id="928"/>
      <w:bookmarkStart w:id="929" w:name="_Toc340397735"/>
      <w:bookmarkEnd w:id="929"/>
      <w:bookmarkStart w:id="930" w:name="_Toc340397665"/>
      <w:bookmarkEnd w:id="930"/>
      <w:bookmarkStart w:id="931" w:name="_Toc340398097"/>
      <w:bookmarkEnd w:id="931"/>
      <w:bookmarkStart w:id="932" w:name="_Toc340398018"/>
      <w:bookmarkEnd w:id="932"/>
      <w:bookmarkStart w:id="933" w:name="_DV_M473"/>
      <w:bookmarkEnd w:id="933"/>
      <w:bookmarkStart w:id="934" w:name="_Toc340398121"/>
      <w:bookmarkEnd w:id="934"/>
      <w:bookmarkStart w:id="935" w:name="_Toc340397627"/>
      <w:bookmarkEnd w:id="935"/>
      <w:bookmarkStart w:id="936" w:name="_Toc340397729"/>
      <w:bookmarkEnd w:id="936"/>
      <w:bookmarkStart w:id="937" w:name="_Toc340398132"/>
      <w:bookmarkEnd w:id="937"/>
      <w:bookmarkStart w:id="938" w:name="_Toc340397728"/>
      <w:bookmarkEnd w:id="938"/>
      <w:bookmarkStart w:id="939" w:name="_Toc340398119"/>
      <w:bookmarkEnd w:id="939"/>
      <w:bookmarkStart w:id="940" w:name="_DV_M466"/>
      <w:bookmarkEnd w:id="940"/>
      <w:bookmarkStart w:id="941" w:name="_Toc340398060"/>
      <w:bookmarkEnd w:id="941"/>
      <w:bookmarkStart w:id="942" w:name="_Toc340398028"/>
      <w:bookmarkEnd w:id="942"/>
      <w:bookmarkStart w:id="943" w:name="_Toc340397635"/>
      <w:bookmarkEnd w:id="943"/>
      <w:bookmarkStart w:id="944" w:name="_Toc340398176"/>
      <w:bookmarkEnd w:id="944"/>
      <w:bookmarkStart w:id="945" w:name="_Toc340397669"/>
      <w:bookmarkEnd w:id="945"/>
      <w:bookmarkStart w:id="946" w:name="_Toc340398093"/>
      <w:bookmarkEnd w:id="946"/>
      <w:bookmarkStart w:id="947" w:name="_Toc340397701"/>
      <w:bookmarkEnd w:id="947"/>
      <w:bookmarkStart w:id="948" w:name="_Toc340398064"/>
      <w:bookmarkEnd w:id="948"/>
      <w:bookmarkStart w:id="949" w:name="_Toc340398124"/>
      <w:bookmarkEnd w:id="949"/>
      <w:bookmarkStart w:id="950" w:name="_Toc340398056"/>
      <w:bookmarkEnd w:id="950"/>
      <w:bookmarkStart w:id="951" w:name="_Toc340398058"/>
      <w:bookmarkEnd w:id="951"/>
      <w:bookmarkStart w:id="952" w:name="_Toc340397711"/>
      <w:bookmarkEnd w:id="952"/>
      <w:bookmarkStart w:id="953" w:name="_Toc340397703"/>
      <w:bookmarkEnd w:id="953"/>
      <w:bookmarkStart w:id="954" w:name="_Toc340398006"/>
      <w:bookmarkEnd w:id="954"/>
      <w:bookmarkStart w:id="955" w:name="_Toc340398175"/>
      <w:bookmarkEnd w:id="955"/>
      <w:bookmarkStart w:id="956" w:name="_Toc340398177"/>
      <w:bookmarkEnd w:id="956"/>
      <w:bookmarkStart w:id="957" w:name="_Toc340397777"/>
      <w:bookmarkEnd w:id="957"/>
      <w:bookmarkStart w:id="958" w:name="_Toc340397647"/>
      <w:bookmarkEnd w:id="958"/>
      <w:bookmarkStart w:id="959" w:name="_Toc340397775"/>
      <w:bookmarkEnd w:id="959"/>
      <w:bookmarkStart w:id="960" w:name="_Toc340398099"/>
      <w:bookmarkEnd w:id="960"/>
      <w:bookmarkStart w:id="961" w:name="_Toc204504297"/>
      <w:bookmarkEnd w:id="961"/>
      <w:bookmarkStart w:id="962" w:name="_Toc340397658"/>
      <w:bookmarkEnd w:id="962"/>
      <w:bookmarkStart w:id="963" w:name="_Toc340398088"/>
      <w:bookmarkEnd w:id="963"/>
      <w:bookmarkStart w:id="964" w:name="_Toc340397749"/>
      <w:bookmarkEnd w:id="964"/>
      <w:bookmarkStart w:id="965" w:name="_Toc340397636"/>
      <w:bookmarkEnd w:id="965"/>
      <w:bookmarkStart w:id="966" w:name="_DV_M494"/>
      <w:bookmarkEnd w:id="966"/>
      <w:bookmarkStart w:id="967" w:name="_Toc340397630"/>
      <w:bookmarkEnd w:id="967"/>
      <w:bookmarkStart w:id="968" w:name="_Toc340397678"/>
      <w:bookmarkEnd w:id="968"/>
      <w:bookmarkStart w:id="969" w:name="_Toc340397687"/>
      <w:bookmarkEnd w:id="969"/>
      <w:bookmarkStart w:id="970" w:name="_Toc340397642"/>
      <w:bookmarkEnd w:id="970"/>
      <w:bookmarkStart w:id="971" w:name="_Toc340398065"/>
      <w:bookmarkEnd w:id="971"/>
      <w:bookmarkStart w:id="972" w:name="_Toc340398054"/>
      <w:bookmarkEnd w:id="972"/>
      <w:bookmarkStart w:id="973" w:name="_Toc340397700"/>
      <w:bookmarkEnd w:id="973"/>
      <w:bookmarkStart w:id="974" w:name="_Toc340397638"/>
      <w:bookmarkEnd w:id="974"/>
      <w:bookmarkStart w:id="975" w:name="_Toc340398078"/>
      <w:bookmarkEnd w:id="975"/>
      <w:bookmarkStart w:id="976" w:name="_Toc340398089"/>
      <w:bookmarkEnd w:id="976"/>
      <w:bookmarkStart w:id="977" w:name="_Toc340397613"/>
      <w:bookmarkEnd w:id="977"/>
      <w:bookmarkStart w:id="978" w:name="_Toc340397626"/>
      <w:bookmarkEnd w:id="978"/>
      <w:bookmarkStart w:id="979" w:name="_DV_M465"/>
      <w:bookmarkEnd w:id="979"/>
      <w:bookmarkStart w:id="980" w:name="_Toc340398074"/>
      <w:bookmarkEnd w:id="980"/>
      <w:bookmarkStart w:id="981" w:name="_Toc340398014"/>
      <w:bookmarkEnd w:id="981"/>
      <w:bookmarkStart w:id="982" w:name="_Toc340397771"/>
      <w:bookmarkEnd w:id="982"/>
      <w:bookmarkStart w:id="983" w:name="_Toc340397783"/>
      <w:bookmarkEnd w:id="983"/>
      <w:bookmarkStart w:id="984" w:name="_Toc340398053"/>
      <w:bookmarkEnd w:id="984"/>
      <w:bookmarkStart w:id="985" w:name="_Toc340397770"/>
      <w:bookmarkEnd w:id="985"/>
      <w:bookmarkStart w:id="986" w:name="_Toc340397695"/>
      <w:bookmarkEnd w:id="986"/>
      <w:bookmarkStart w:id="987" w:name="_Toc340397620"/>
      <w:bookmarkEnd w:id="987"/>
      <w:bookmarkStart w:id="988" w:name="_Toc340398010"/>
      <w:bookmarkEnd w:id="988"/>
      <w:bookmarkStart w:id="989" w:name="_Toc340398111"/>
      <w:bookmarkEnd w:id="989"/>
      <w:bookmarkStart w:id="990" w:name="_Toc340398008"/>
      <w:bookmarkEnd w:id="990"/>
      <w:bookmarkStart w:id="991" w:name="_Toc340397666"/>
      <w:bookmarkEnd w:id="991"/>
      <w:bookmarkStart w:id="992" w:name="_Toc340397716"/>
      <w:bookmarkEnd w:id="992"/>
      <w:bookmarkStart w:id="993" w:name="_Toc340397674"/>
      <w:bookmarkEnd w:id="993"/>
      <w:bookmarkStart w:id="994" w:name="_Toc340398160"/>
      <w:bookmarkEnd w:id="994"/>
      <w:bookmarkStart w:id="995" w:name="_Toc340397676"/>
      <w:bookmarkEnd w:id="995"/>
      <w:bookmarkStart w:id="996" w:name="_Toc340398013"/>
      <w:bookmarkEnd w:id="996"/>
      <w:bookmarkStart w:id="997" w:name="_Toc340398057"/>
      <w:bookmarkEnd w:id="997"/>
      <w:bookmarkStart w:id="998" w:name="_Toc340398081"/>
      <w:bookmarkEnd w:id="998"/>
      <w:bookmarkStart w:id="999" w:name="_Toc340397677"/>
      <w:bookmarkEnd w:id="999"/>
      <w:bookmarkStart w:id="1000" w:name="_Toc340398067"/>
      <w:bookmarkEnd w:id="1000"/>
      <w:bookmarkStart w:id="1001" w:name="_Toc340398033"/>
      <w:bookmarkEnd w:id="1001"/>
      <w:bookmarkStart w:id="1002" w:name="_Toc340397614"/>
      <w:bookmarkEnd w:id="1002"/>
      <w:bookmarkStart w:id="1003" w:name="_Toc340397675"/>
      <w:bookmarkEnd w:id="1003"/>
      <w:bookmarkStart w:id="1004" w:name="_Toc340397686"/>
      <w:bookmarkEnd w:id="1004"/>
      <w:bookmarkStart w:id="1005" w:name="_Toc340397722"/>
      <w:bookmarkEnd w:id="1005"/>
      <w:bookmarkStart w:id="1006" w:name="_Toc340397693"/>
      <w:bookmarkEnd w:id="1006"/>
      <w:bookmarkStart w:id="1007" w:name="_Toc340397612"/>
      <w:bookmarkEnd w:id="1007"/>
      <w:bookmarkStart w:id="1008" w:name="_Toc340398030"/>
      <w:bookmarkEnd w:id="1008"/>
      <w:bookmarkStart w:id="1009" w:name="_Toc204504296"/>
      <w:bookmarkEnd w:id="1009"/>
      <w:bookmarkStart w:id="1010" w:name="_Toc340397721"/>
      <w:bookmarkEnd w:id="1010"/>
      <w:bookmarkStart w:id="1011" w:name="_Toc340398077"/>
      <w:bookmarkEnd w:id="1011"/>
      <w:bookmarkStart w:id="1012" w:name="_Toc340397730"/>
      <w:bookmarkEnd w:id="1012"/>
      <w:bookmarkStart w:id="1013" w:name="_Toc340397681"/>
      <w:bookmarkEnd w:id="1013"/>
      <w:bookmarkStart w:id="1014" w:name="_Toc340397751"/>
      <w:bookmarkEnd w:id="1014"/>
      <w:bookmarkStart w:id="1015" w:name="_Toc340397688"/>
      <w:bookmarkEnd w:id="1015"/>
      <w:bookmarkStart w:id="1016" w:name="_Toc340398143"/>
      <w:bookmarkEnd w:id="1016"/>
      <w:bookmarkStart w:id="1017" w:name="_Toc340397733"/>
      <w:bookmarkEnd w:id="1017"/>
      <w:bookmarkStart w:id="1018" w:name="_DV_M481"/>
      <w:bookmarkEnd w:id="1018"/>
      <w:bookmarkStart w:id="1019" w:name="_Toc340398004"/>
      <w:bookmarkEnd w:id="1019"/>
      <w:bookmarkStart w:id="1020" w:name="_Toc340398173"/>
      <w:bookmarkEnd w:id="1020"/>
      <w:bookmarkStart w:id="1021" w:name="_DV_M463"/>
      <w:bookmarkEnd w:id="1021"/>
      <w:bookmarkStart w:id="1022" w:name="_Toc340397646"/>
      <w:bookmarkEnd w:id="1022"/>
      <w:bookmarkStart w:id="1023" w:name="_Toc340397738"/>
      <w:bookmarkEnd w:id="1023"/>
      <w:bookmarkStart w:id="1024" w:name="_Toc340397731"/>
      <w:bookmarkEnd w:id="1024"/>
      <w:bookmarkStart w:id="1025" w:name="_Toc340397740"/>
      <w:bookmarkEnd w:id="1025"/>
      <w:bookmarkStart w:id="1026" w:name="_Toc340398051"/>
      <w:bookmarkEnd w:id="1026"/>
      <w:bookmarkStart w:id="1027" w:name="_Toc340398127"/>
      <w:bookmarkEnd w:id="1027"/>
      <w:bookmarkStart w:id="1028" w:name="_Toc340398131"/>
      <w:bookmarkEnd w:id="1028"/>
      <w:bookmarkStart w:id="1029" w:name="_Toc340397732"/>
      <w:bookmarkEnd w:id="1029"/>
      <w:bookmarkStart w:id="1030" w:name="_Toc340398118"/>
      <w:bookmarkEnd w:id="1030"/>
      <w:bookmarkStart w:id="1031" w:name="_Toc340398087"/>
      <w:bookmarkEnd w:id="1031"/>
      <w:bookmarkStart w:id="1032" w:name="_Toc340397705"/>
      <w:bookmarkEnd w:id="1032"/>
      <w:bookmarkStart w:id="1033" w:name="_Toc340397736"/>
      <w:bookmarkEnd w:id="1033"/>
      <w:bookmarkStart w:id="1034" w:name="_Toc340398059"/>
      <w:bookmarkEnd w:id="1034"/>
      <w:bookmarkStart w:id="1035" w:name="_Toc340397692"/>
      <w:bookmarkEnd w:id="1035"/>
      <w:bookmarkStart w:id="1036" w:name="_Toc340398094"/>
      <w:bookmarkEnd w:id="1036"/>
      <w:bookmarkStart w:id="1037" w:name="_Toc340398129"/>
      <w:bookmarkEnd w:id="1037"/>
      <w:bookmarkStart w:id="1038" w:name="_Toc340398026"/>
      <w:bookmarkEnd w:id="1038"/>
      <w:bookmarkStart w:id="1039" w:name="_Toc340397660"/>
      <w:bookmarkEnd w:id="1039"/>
      <w:bookmarkStart w:id="1040" w:name="_Toc340397673"/>
      <w:bookmarkEnd w:id="1040"/>
      <w:bookmarkStart w:id="1041" w:name="_Toc340397785"/>
      <w:bookmarkEnd w:id="1041"/>
      <w:bookmarkStart w:id="1042" w:name="_Toc340397628"/>
      <w:bookmarkEnd w:id="1042"/>
      <w:bookmarkStart w:id="1043" w:name="_DV_M460"/>
      <w:bookmarkEnd w:id="1043"/>
      <w:bookmarkStart w:id="1044" w:name="_Toc340397786"/>
      <w:bookmarkEnd w:id="1044"/>
      <w:bookmarkStart w:id="1045" w:name="_Toc340398137"/>
      <w:bookmarkEnd w:id="1045"/>
      <w:bookmarkStart w:id="1046" w:name="_Toc340398027"/>
      <w:bookmarkEnd w:id="1046"/>
      <w:bookmarkStart w:id="1047" w:name="_Toc340397696"/>
      <w:bookmarkEnd w:id="1047"/>
      <w:bookmarkStart w:id="1048" w:name="_Toc340397737"/>
      <w:bookmarkEnd w:id="1048"/>
      <w:bookmarkStart w:id="1049" w:name="_DV_M480"/>
      <w:bookmarkEnd w:id="1049"/>
      <w:bookmarkStart w:id="1050" w:name="_Toc340397668"/>
      <w:bookmarkEnd w:id="1050"/>
      <w:bookmarkStart w:id="1051" w:name="_Toc340398109"/>
      <w:bookmarkEnd w:id="1051"/>
      <w:bookmarkStart w:id="1052" w:name="_Toc340397624"/>
      <w:bookmarkEnd w:id="1052"/>
      <w:bookmarkStart w:id="1053" w:name="_Toc340397655"/>
      <w:bookmarkEnd w:id="1053"/>
      <w:bookmarkStart w:id="1054" w:name="_Toc204504298"/>
      <w:bookmarkEnd w:id="1054"/>
      <w:bookmarkStart w:id="1055" w:name="_DV_M469"/>
      <w:bookmarkEnd w:id="1055"/>
      <w:bookmarkStart w:id="1056" w:name="_Toc340398044"/>
      <w:bookmarkEnd w:id="1056"/>
      <w:bookmarkStart w:id="1057" w:name="_Toc340398144"/>
      <w:bookmarkEnd w:id="1057"/>
      <w:bookmarkStart w:id="1058" w:name="_Toc340398153"/>
      <w:bookmarkEnd w:id="1058"/>
      <w:bookmarkStart w:id="1059" w:name="_Toc340397667"/>
      <w:bookmarkEnd w:id="1059"/>
      <w:bookmarkStart w:id="1060" w:name="_Toc340397685"/>
      <w:bookmarkEnd w:id="1060"/>
      <w:bookmarkStart w:id="1061" w:name="_Toc340398141"/>
      <w:bookmarkEnd w:id="1061"/>
      <w:bookmarkStart w:id="1062" w:name="_Toc340398156"/>
      <w:bookmarkEnd w:id="1062"/>
      <w:bookmarkStart w:id="1063" w:name="_Toc340398086"/>
      <w:bookmarkEnd w:id="1063"/>
      <w:bookmarkStart w:id="1064" w:name="_Toc340397656"/>
      <w:bookmarkEnd w:id="1064"/>
      <w:bookmarkStart w:id="1065" w:name="_Toc340398128"/>
      <w:bookmarkEnd w:id="1065"/>
      <w:bookmarkStart w:id="1066" w:name="_Toc340397672"/>
      <w:bookmarkEnd w:id="1066"/>
      <w:bookmarkStart w:id="1067" w:name="_Toc340398148"/>
      <w:bookmarkEnd w:id="1067"/>
      <w:bookmarkStart w:id="1068" w:name="_Toc340397743"/>
      <w:bookmarkEnd w:id="1068"/>
      <w:bookmarkStart w:id="1069" w:name="_Toc340397724"/>
      <w:bookmarkEnd w:id="1069"/>
      <w:bookmarkStart w:id="1070" w:name="_Toc340397706"/>
      <w:bookmarkEnd w:id="1070"/>
      <w:bookmarkStart w:id="1071" w:name="_Toc340398032"/>
      <w:bookmarkEnd w:id="1071"/>
      <w:bookmarkStart w:id="1072" w:name="_Toc340397760"/>
      <w:bookmarkEnd w:id="1072"/>
      <w:bookmarkStart w:id="1073" w:name="_Toc340397757"/>
      <w:bookmarkEnd w:id="1073"/>
      <w:bookmarkStart w:id="1074" w:name="_Toc340398076"/>
      <w:bookmarkEnd w:id="1074"/>
      <w:bookmarkStart w:id="1075" w:name="_Toc340398165"/>
      <w:bookmarkEnd w:id="1075"/>
      <w:bookmarkStart w:id="1076" w:name="_Toc340397641"/>
      <w:bookmarkEnd w:id="1076"/>
      <w:bookmarkStart w:id="1077" w:name="_Toc340398045"/>
      <w:bookmarkEnd w:id="1077"/>
      <w:bookmarkStart w:id="1078" w:name="_Toc340397619"/>
      <w:bookmarkEnd w:id="1078"/>
      <w:bookmarkStart w:id="1079" w:name="_Toc340397649"/>
      <w:bookmarkEnd w:id="1079"/>
      <w:bookmarkStart w:id="1080" w:name="_Toc340398015"/>
      <w:bookmarkEnd w:id="1080"/>
      <w:bookmarkStart w:id="1081" w:name="_Toc340397683"/>
      <w:bookmarkEnd w:id="1081"/>
      <w:bookmarkStart w:id="1082" w:name="_Toc340398138"/>
      <w:bookmarkEnd w:id="1082"/>
      <w:bookmarkStart w:id="1083" w:name="_Toc340398017"/>
      <w:bookmarkEnd w:id="1083"/>
      <w:bookmarkStart w:id="1084" w:name="_Toc340398116"/>
      <w:bookmarkEnd w:id="1084"/>
      <w:bookmarkStart w:id="1085" w:name="_Toc340398049"/>
      <w:bookmarkEnd w:id="1085"/>
      <w:bookmarkStart w:id="1086" w:name="_Toc110370867"/>
      <w:bookmarkEnd w:id="1086"/>
      <w:bookmarkStart w:id="1087" w:name="_Toc340398140"/>
      <w:bookmarkEnd w:id="1087"/>
      <w:bookmarkStart w:id="1088" w:name="_Toc340397779"/>
      <w:bookmarkEnd w:id="1088"/>
      <w:bookmarkStart w:id="1089" w:name="_Toc340397618"/>
      <w:bookmarkEnd w:id="1089"/>
      <w:bookmarkStart w:id="1090" w:name="_Toc110153447"/>
      <w:bookmarkStart w:id="1091" w:name="_Toc227694335"/>
      <w:bookmarkStart w:id="1092" w:name="_Toc201569430"/>
      <w:bookmarkStart w:id="1093" w:name="_Toc111281804"/>
      <w:r>
        <w:rPr>
          <w:rFonts w:ascii="Times New Roman" w:hAnsi="Times New Roman" w:eastAsia="楷体_GB2312"/>
          <w:b/>
          <w:sz w:val="24"/>
        </w:rPr>
        <w:t>受</w:t>
      </w:r>
      <w:bookmarkStart w:id="1094" w:name="_Toc106417389"/>
      <w:bookmarkEnd w:id="1094"/>
      <w:bookmarkStart w:id="1095" w:name="_Toc106417388"/>
      <w:bookmarkEnd w:id="1095"/>
      <w:bookmarkStart w:id="1096" w:name="_Toc106417386"/>
      <w:bookmarkEnd w:id="1096"/>
      <w:bookmarkStart w:id="1097" w:name="_Toc106417387"/>
      <w:bookmarkEnd w:id="1097"/>
      <w:bookmarkStart w:id="1098" w:name="_Toc92612934"/>
      <w:r>
        <w:rPr>
          <w:rFonts w:ascii="Times New Roman" w:hAnsi="Times New Roman" w:eastAsia="楷体_GB2312"/>
          <w:b/>
          <w:sz w:val="24"/>
        </w:rPr>
        <w:t>托人的更换</w:t>
      </w:r>
      <w:bookmarkEnd w:id="1090"/>
      <w:bookmarkEnd w:id="1091"/>
      <w:bookmarkEnd w:id="1092"/>
      <w:bookmarkEnd w:id="1093"/>
    </w:p>
    <w:p w14:paraId="6B96F5D8">
      <w:pPr>
        <w:spacing w:before="156" w:beforeLines="50" w:after="156" w:afterLines="50" w:line="360" w:lineRule="auto"/>
        <w:ind w:firstLine="482" w:firstLineChars="200"/>
        <w:rPr>
          <w:rFonts w:ascii="Times New Roman" w:hAnsi="Times New Roman" w:eastAsia="楷体_GB2312"/>
          <w:b/>
          <w:bCs/>
          <w:i/>
          <w:iCs/>
          <w:color w:val="FF0000"/>
          <w:sz w:val="24"/>
        </w:rPr>
      </w:pPr>
      <w:r>
        <w:rPr>
          <w:rFonts w:ascii="Times New Roman" w:hAnsi="Times New Roman" w:eastAsia="楷体_GB2312"/>
          <w:b/>
          <w:bCs/>
          <w:i/>
          <w:iCs/>
          <w:color w:val="FF0000"/>
          <w:sz w:val="24"/>
        </w:rPr>
        <w:t>【注：受托人的更换可以根据项目实际情况调整。】</w:t>
      </w:r>
    </w:p>
    <w:bookmarkEnd w:id="1098"/>
    <w:p w14:paraId="19624320">
      <w:pPr>
        <w:numPr>
          <w:ilvl w:val="1"/>
          <w:numId w:val="6"/>
        </w:numPr>
        <w:spacing w:before="156" w:beforeLines="50" w:after="156" w:afterLines="50" w:line="360" w:lineRule="auto"/>
        <w:outlineLvl w:val="1"/>
        <w:rPr>
          <w:rFonts w:ascii="Times New Roman" w:hAnsi="Times New Roman" w:eastAsia="楷体_GB2312"/>
          <w:b/>
          <w:sz w:val="24"/>
        </w:rPr>
      </w:pPr>
      <w:bookmarkStart w:id="1099" w:name="_Ref347324160"/>
      <w:bookmarkStart w:id="1100" w:name="_Toc152168738"/>
      <w:bookmarkStart w:id="1101" w:name="_Ref182904705"/>
      <w:bookmarkStart w:id="1102" w:name="_Toc151554347"/>
      <w:bookmarkStart w:id="1103" w:name="_Toc152168182"/>
      <w:bookmarkStart w:id="1104" w:name="_Ref110227113"/>
      <w:r>
        <w:rPr>
          <w:rFonts w:ascii="Times New Roman" w:hAnsi="Times New Roman" w:eastAsia="楷体_GB2312"/>
          <w:b/>
          <w:sz w:val="24"/>
        </w:rPr>
        <w:t>受托人的辞任</w:t>
      </w:r>
      <w:bookmarkEnd w:id="1099"/>
      <w:bookmarkEnd w:id="1100"/>
      <w:bookmarkEnd w:id="1101"/>
      <w:bookmarkEnd w:id="1102"/>
      <w:bookmarkEnd w:id="1103"/>
    </w:p>
    <w:p w14:paraId="69B5EC94">
      <w:pPr>
        <w:tabs>
          <w:tab w:val="left" w:pos="1800"/>
          <w:tab w:val="left" w:pos="1980"/>
        </w:tabs>
        <w:spacing w:before="156" w:beforeLines="50" w:after="156" w:afterLines="50" w:line="360" w:lineRule="auto"/>
        <w:ind w:left="991"/>
        <w:rPr>
          <w:rFonts w:ascii="Times New Roman" w:hAnsi="Times New Roman" w:eastAsia="楷体_GB2312"/>
          <w:w w:val="0"/>
          <w:sz w:val="24"/>
          <w:lang w:val="en-GB"/>
        </w:rPr>
      </w:pPr>
      <w:r>
        <w:rPr>
          <w:rFonts w:ascii="Times New Roman" w:hAnsi="Times New Roman" w:eastAsia="楷体_GB2312"/>
          <w:sz w:val="24"/>
        </w:rPr>
        <w:t>除非“中国”“法律”或“交易文件”另有规定或约定，“受托人”可于任何时候</w:t>
      </w:r>
      <w:r>
        <w:rPr>
          <w:rFonts w:ascii="Times New Roman" w:hAnsi="Times New Roman" w:eastAsia="楷体_GB2312"/>
          <w:w w:val="0"/>
          <w:sz w:val="24"/>
          <w:lang w:val="en-GB"/>
        </w:rPr>
        <w:t>按照本合同约定书面通知本合同其他方以及“评级机构”提出辞任，但应符合如下条件：(i)该辞任须经“委托人”的书面同意和“资产支持证券持有人大会”的批准；(ii)“受托人”已推荐了符合“受托人合格标准”并愿意按照本合同的条款担任“受托人”的继任机构，并且“资产支持证券持有人大会”已经书面批准对该继任“受托人”的任命。</w:t>
      </w:r>
    </w:p>
    <w:p w14:paraId="0341CE53">
      <w:pPr>
        <w:numPr>
          <w:ilvl w:val="1"/>
          <w:numId w:val="6"/>
        </w:numPr>
        <w:spacing w:before="156" w:beforeLines="50" w:after="156" w:afterLines="50" w:line="360" w:lineRule="auto"/>
        <w:outlineLvl w:val="1"/>
        <w:rPr>
          <w:rFonts w:ascii="Times New Roman" w:hAnsi="Times New Roman" w:eastAsia="楷体_GB2312"/>
          <w:b/>
          <w:sz w:val="24"/>
        </w:rPr>
      </w:pPr>
      <w:bookmarkStart w:id="1105" w:name="_Ref182904708"/>
      <w:bookmarkStart w:id="1106" w:name="_Ref182904582"/>
      <w:r>
        <w:rPr>
          <w:rFonts w:ascii="Times New Roman" w:hAnsi="Times New Roman" w:eastAsia="楷体_GB2312"/>
          <w:b/>
          <w:sz w:val="24"/>
        </w:rPr>
        <w:t>受托人的解任</w:t>
      </w:r>
      <w:bookmarkEnd w:id="1105"/>
      <w:bookmarkEnd w:id="1106"/>
    </w:p>
    <w:p w14:paraId="0E94F07D">
      <w:pPr>
        <w:tabs>
          <w:tab w:val="left" w:pos="1800"/>
          <w:tab w:val="left" w:pos="1980"/>
        </w:tabs>
        <w:spacing w:before="156" w:beforeLines="50" w:after="156" w:afterLines="50" w:line="360" w:lineRule="auto"/>
        <w:ind w:left="991"/>
        <w:rPr>
          <w:rFonts w:ascii="Times New Roman" w:hAnsi="Times New Roman" w:eastAsia="楷体_GB2312"/>
          <w:w w:val="0"/>
          <w:sz w:val="24"/>
          <w:lang w:val="en-GB"/>
        </w:rPr>
      </w:pPr>
      <w:r>
        <w:rPr>
          <w:rFonts w:ascii="Times New Roman" w:hAnsi="Times New Roman" w:eastAsia="楷体_GB2312"/>
          <w:w w:val="0"/>
          <w:sz w:val="24"/>
          <w:lang w:val="en-GB"/>
        </w:rPr>
        <w:t>如发生“受托人解任事件”，“受托人”应立即书面通知本合同其他方、“评级机构”以及“资产支持证券持有人”，“资产支持证券持有人大会”有权解任“受托人”并书面通知“受托人”（并抄送本合同其他方），在不违反本合同第</w:t>
      </w:r>
      <w:r>
        <w:rPr>
          <w:rFonts w:ascii="Times New Roman" w:hAnsi="Times New Roman" w:eastAsia="楷体_GB2312"/>
          <w:sz w:val="24"/>
        </w:rPr>
        <w:fldChar w:fldCharType="begin"/>
      </w:r>
      <w:r>
        <w:rPr>
          <w:rFonts w:ascii="Times New Roman" w:hAnsi="Times New Roman" w:eastAsia="楷体_GB2312"/>
          <w:w w:val="0"/>
          <w:sz w:val="24"/>
          <w:lang w:val="en-GB"/>
        </w:rPr>
        <w:instrText xml:space="preserve"> REF _Ref182904509 \r \h </w:instrText>
      </w:r>
      <w:r>
        <w:rPr>
          <w:rFonts w:ascii="Times New Roman" w:hAnsi="Times New Roman" w:eastAsia="楷体_GB2312"/>
          <w:sz w:val="24"/>
        </w:rPr>
        <w:instrText xml:space="preserve"> \* MERGEFORMAT </w:instrText>
      </w:r>
      <w:r>
        <w:rPr>
          <w:rFonts w:ascii="Times New Roman" w:hAnsi="Times New Roman" w:eastAsia="楷体_GB2312"/>
          <w:sz w:val="24"/>
        </w:rPr>
        <w:fldChar w:fldCharType="separate"/>
      </w:r>
      <w:r>
        <w:rPr>
          <w:rFonts w:ascii="Times New Roman" w:hAnsi="Times New Roman" w:eastAsia="楷体_GB2312"/>
          <w:w w:val="0"/>
          <w:sz w:val="24"/>
          <w:lang w:val="en-GB"/>
        </w:rPr>
        <w:t>15.3.3</w:t>
      </w:r>
      <w:r>
        <w:rPr>
          <w:rFonts w:ascii="Times New Roman" w:hAnsi="Times New Roman" w:eastAsia="楷体_GB2312"/>
          <w:sz w:val="24"/>
        </w:rPr>
        <w:fldChar w:fldCharType="end"/>
      </w:r>
      <w:r>
        <w:rPr>
          <w:rFonts w:ascii="Times New Roman" w:hAnsi="Times New Roman" w:eastAsia="楷体_GB2312"/>
          <w:w w:val="0"/>
          <w:sz w:val="24"/>
          <w:lang w:val="en-GB"/>
        </w:rPr>
        <w:t>款之约定的前提下，该解任自通知确定的日期（但不得早于通知的日期）起生效。</w:t>
      </w:r>
    </w:p>
    <w:p w14:paraId="02DAB6F2">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继任受托人的委任</w:t>
      </w:r>
    </w:p>
    <w:p w14:paraId="1BA909A1">
      <w:pPr>
        <w:numPr>
          <w:ilvl w:val="2"/>
          <w:numId w:val="6"/>
        </w:numPr>
        <w:tabs>
          <w:tab w:val="left" w:pos="900"/>
        </w:tabs>
        <w:spacing w:before="156" w:beforeLines="50" w:after="156" w:afterLines="50" w:line="360" w:lineRule="auto"/>
        <w:ind w:left="1620" w:hanging="769"/>
        <w:rPr>
          <w:rFonts w:ascii="Times New Roman" w:hAnsi="Times New Roman" w:eastAsia="楷体_GB2312"/>
          <w:w w:val="0"/>
          <w:sz w:val="24"/>
        </w:rPr>
      </w:pPr>
      <w:bookmarkStart w:id="1107" w:name="_Ref182904633"/>
      <w:r>
        <w:rPr>
          <w:rFonts w:ascii="Times New Roman" w:hAnsi="Times New Roman" w:eastAsia="楷体_GB2312"/>
          <w:sz w:val="24"/>
        </w:rPr>
        <w:t>根据</w:t>
      </w:r>
      <w:r>
        <w:rPr>
          <w:rFonts w:ascii="Times New Roman" w:hAnsi="Times New Roman" w:eastAsia="楷体_GB2312"/>
          <w:w w:val="0"/>
          <w:sz w:val="24"/>
        </w:rPr>
        <w:t>上述第</w:t>
      </w:r>
      <w:r>
        <w:rPr>
          <w:rFonts w:ascii="Times New Roman" w:hAnsi="Times New Roman" w:eastAsia="楷体_GB2312"/>
          <w:sz w:val="24"/>
        </w:rPr>
        <w:fldChar w:fldCharType="begin"/>
      </w:r>
      <w:r>
        <w:rPr>
          <w:rFonts w:ascii="Times New Roman" w:hAnsi="Times New Roman" w:eastAsia="楷体_GB2312"/>
          <w:w w:val="0"/>
          <w:sz w:val="24"/>
        </w:rPr>
        <w:instrText xml:space="preserve"> REF _Ref182904582 \r \h </w:instrText>
      </w:r>
      <w:r>
        <w:rPr>
          <w:rFonts w:ascii="Times New Roman" w:hAnsi="Times New Roman" w:eastAsia="楷体_GB2312"/>
          <w:sz w:val="24"/>
        </w:rPr>
        <w:instrText xml:space="preserve"> \* MERGEFORMAT </w:instrText>
      </w:r>
      <w:r>
        <w:rPr>
          <w:rFonts w:ascii="Times New Roman" w:hAnsi="Times New Roman" w:eastAsia="楷体_GB2312"/>
          <w:sz w:val="24"/>
        </w:rPr>
        <w:fldChar w:fldCharType="separate"/>
      </w:r>
      <w:r>
        <w:rPr>
          <w:rFonts w:ascii="Times New Roman" w:hAnsi="Times New Roman" w:eastAsia="楷体_GB2312"/>
          <w:w w:val="0"/>
          <w:sz w:val="24"/>
        </w:rPr>
        <w:t>15.2</w:t>
      </w:r>
      <w:r>
        <w:rPr>
          <w:rFonts w:ascii="Times New Roman" w:hAnsi="Times New Roman" w:eastAsia="楷体_GB2312"/>
          <w:sz w:val="24"/>
        </w:rPr>
        <w:fldChar w:fldCharType="end"/>
      </w:r>
      <w:r>
        <w:rPr>
          <w:rFonts w:ascii="Times New Roman" w:hAnsi="Times New Roman" w:eastAsia="楷体_GB2312"/>
          <w:w w:val="0"/>
          <w:sz w:val="24"/>
        </w:rPr>
        <w:t>款的约定解任“受托人”后，“资产支持证券持有人大会”应立即任命符合“受托人合格标准”并愿意担任“受托人”的继任“受托人”。“受托人”应立即将对该继任“受托人”的任命通知本合同对方、“资产支持证券持有人”以及“评级机构”等其他各相关方。在继任“受托人”接受该任命之前，“受托人”的任何辞任或解任均不得生效。</w:t>
      </w:r>
      <w:bookmarkEnd w:id="1107"/>
    </w:p>
    <w:p w14:paraId="3EE3234F">
      <w:pPr>
        <w:numPr>
          <w:ilvl w:val="2"/>
          <w:numId w:val="6"/>
        </w:numPr>
        <w:tabs>
          <w:tab w:val="left" w:pos="900"/>
        </w:tabs>
        <w:spacing w:before="156" w:beforeLines="50" w:after="156" w:afterLines="50" w:line="360" w:lineRule="auto"/>
        <w:ind w:left="1620" w:hanging="769"/>
        <w:rPr>
          <w:rFonts w:ascii="Times New Roman" w:hAnsi="Times New Roman" w:eastAsia="楷体_GB2312"/>
          <w:w w:val="0"/>
          <w:sz w:val="24"/>
        </w:rPr>
      </w:pPr>
      <w:bookmarkStart w:id="1108" w:name="_DV_M532"/>
      <w:bookmarkEnd w:id="1108"/>
      <w:r>
        <w:rPr>
          <w:rFonts w:ascii="Times New Roman" w:hAnsi="Times New Roman" w:eastAsia="楷体_GB2312"/>
          <w:sz w:val="24"/>
        </w:rPr>
        <w:t>如果</w:t>
      </w:r>
      <w:r>
        <w:rPr>
          <w:rFonts w:ascii="Times New Roman" w:hAnsi="Times New Roman" w:eastAsia="楷体_GB2312"/>
          <w:w w:val="0"/>
          <w:sz w:val="24"/>
        </w:rPr>
        <w:t>因“受托人”发生任何“丧失清偿能力事件”中的任何一项或丧失“受托人合格标准”而解任“受托人”的，在根据上述第</w:t>
      </w:r>
      <w:r>
        <w:rPr>
          <w:rFonts w:ascii="Times New Roman" w:hAnsi="Times New Roman" w:eastAsia="楷体_GB2312"/>
          <w:sz w:val="24"/>
        </w:rPr>
        <w:fldChar w:fldCharType="begin"/>
      </w:r>
      <w:r>
        <w:rPr>
          <w:rFonts w:ascii="Times New Roman" w:hAnsi="Times New Roman" w:eastAsia="楷体_GB2312"/>
          <w:w w:val="0"/>
          <w:sz w:val="24"/>
        </w:rPr>
        <w:instrText xml:space="preserve"> REF _Ref182904633 \r \h </w:instrText>
      </w:r>
      <w:r>
        <w:rPr>
          <w:rFonts w:ascii="Times New Roman" w:hAnsi="Times New Roman" w:eastAsia="楷体_GB2312"/>
          <w:sz w:val="24"/>
        </w:rPr>
        <w:instrText xml:space="preserve"> \* MERGEFORMAT </w:instrText>
      </w:r>
      <w:r>
        <w:rPr>
          <w:rFonts w:ascii="Times New Roman" w:hAnsi="Times New Roman" w:eastAsia="楷体_GB2312"/>
          <w:sz w:val="24"/>
        </w:rPr>
        <w:fldChar w:fldCharType="separate"/>
      </w:r>
      <w:r>
        <w:rPr>
          <w:rFonts w:ascii="Times New Roman" w:hAnsi="Times New Roman" w:eastAsia="楷体_GB2312"/>
          <w:w w:val="0"/>
          <w:sz w:val="24"/>
        </w:rPr>
        <w:t>15.3.1</w:t>
      </w:r>
      <w:r>
        <w:rPr>
          <w:rFonts w:ascii="Times New Roman" w:hAnsi="Times New Roman" w:eastAsia="楷体_GB2312"/>
          <w:sz w:val="24"/>
        </w:rPr>
        <w:fldChar w:fldCharType="end"/>
      </w:r>
      <w:r>
        <w:rPr>
          <w:rFonts w:ascii="Times New Roman" w:hAnsi="Times New Roman" w:eastAsia="楷体_GB2312"/>
          <w:w w:val="0"/>
          <w:sz w:val="24"/>
        </w:rPr>
        <w:t>款的约定任命继任“受托人”以前，由届时“金融监管总局”指定的临时“受托人”（如有），代为履行“受托人”在“《信托合同》”及其他“交易文件”项下的职责</w:t>
      </w:r>
      <w:r>
        <w:rPr>
          <w:rFonts w:ascii="Times New Roman" w:hAnsi="Times New Roman" w:eastAsia="楷体_GB2312"/>
          <w:bCs/>
          <w:w w:val="0"/>
          <w:sz w:val="24"/>
        </w:rPr>
        <w:t>。</w:t>
      </w:r>
    </w:p>
    <w:p w14:paraId="2ACE528F">
      <w:pPr>
        <w:numPr>
          <w:ilvl w:val="2"/>
          <w:numId w:val="6"/>
        </w:numPr>
        <w:tabs>
          <w:tab w:val="left" w:pos="900"/>
        </w:tabs>
        <w:spacing w:before="156" w:beforeLines="50" w:after="156" w:afterLines="50" w:line="360" w:lineRule="auto"/>
        <w:ind w:left="1620" w:hanging="769"/>
        <w:rPr>
          <w:rFonts w:ascii="Times New Roman" w:hAnsi="Times New Roman" w:eastAsia="楷体_GB2312"/>
          <w:w w:val="0"/>
          <w:sz w:val="24"/>
        </w:rPr>
      </w:pPr>
      <w:bookmarkStart w:id="1109" w:name="_DV_M534"/>
      <w:bookmarkEnd w:id="1109"/>
      <w:bookmarkStart w:id="1110" w:name="_DV_M533"/>
      <w:bookmarkEnd w:id="1110"/>
      <w:bookmarkStart w:id="1111" w:name="_Ref182904509"/>
      <w:r>
        <w:rPr>
          <w:rFonts w:ascii="Times New Roman" w:hAnsi="Times New Roman" w:eastAsia="楷体_GB2312"/>
          <w:w w:val="0"/>
          <w:sz w:val="24"/>
        </w:rPr>
        <w:t>继任</w:t>
      </w:r>
      <w:r>
        <w:rPr>
          <w:rFonts w:ascii="Times New Roman" w:hAnsi="Times New Roman" w:eastAsia="楷体_GB2312"/>
          <w:sz w:val="24"/>
        </w:rPr>
        <w:t>“受托人”应</w:t>
      </w:r>
      <w:r>
        <w:rPr>
          <w:rFonts w:ascii="Times New Roman" w:hAnsi="Times New Roman" w:eastAsia="楷体_GB2312"/>
          <w:w w:val="0"/>
          <w:sz w:val="24"/>
        </w:rPr>
        <w:t>签署并向“委托人”、其前任“受托人”以及“资产支持证券持有人大会”交付其接受委任的书面文件，原“受托人”的辞任或解任在继任</w:t>
      </w:r>
      <w:r>
        <w:rPr>
          <w:rFonts w:ascii="Times New Roman" w:hAnsi="Times New Roman" w:eastAsia="楷体_GB2312"/>
          <w:sz w:val="24"/>
        </w:rPr>
        <w:t>“受托人”应</w:t>
      </w:r>
      <w:r>
        <w:rPr>
          <w:rFonts w:ascii="Times New Roman" w:hAnsi="Times New Roman" w:eastAsia="楷体_GB2312"/>
          <w:w w:val="0"/>
          <w:sz w:val="24"/>
        </w:rPr>
        <w:t>签署并交付该等书面文件后立即生效，且继任“受托人”无需采取进一步的行动，即自动享有并承担其前任“受托人”在本合同以及其前任“受托人”作为一方的其他“交易文件”项下的全部权利、权力、职责和义务。</w:t>
      </w:r>
      <w:bookmarkEnd w:id="1111"/>
    </w:p>
    <w:p w14:paraId="48420F04">
      <w:pPr>
        <w:numPr>
          <w:ilvl w:val="2"/>
          <w:numId w:val="6"/>
        </w:numPr>
        <w:tabs>
          <w:tab w:val="left" w:pos="900"/>
        </w:tabs>
        <w:spacing w:before="156" w:beforeLines="50" w:after="156" w:afterLines="50" w:line="360" w:lineRule="auto"/>
        <w:ind w:left="1620" w:hanging="769"/>
        <w:rPr>
          <w:rFonts w:ascii="Times New Roman" w:hAnsi="Times New Roman" w:eastAsia="楷体_GB2312"/>
          <w:w w:val="0"/>
          <w:sz w:val="24"/>
        </w:rPr>
      </w:pPr>
      <w:bookmarkStart w:id="1112" w:name="_DV_M535"/>
      <w:bookmarkEnd w:id="1112"/>
      <w:r>
        <w:rPr>
          <w:rFonts w:ascii="Times New Roman" w:hAnsi="Times New Roman" w:eastAsia="楷体_GB2312"/>
          <w:w w:val="0"/>
          <w:sz w:val="24"/>
        </w:rPr>
        <w:t>辞任或被解任的“受托人”在辞任或被解任后应：(i)立即签署并交付形式和内容符合继任“受托人”和“资产支持证券持有人大会”要求的书面文件，向继任“受托人”完全转让（以及确认前述转让）该辞任或被解任“受托人”的全部权利、权力、职责和义务；(ii)向继任“受托人”转让并交付“信托财产”以及该辞任或被解任“受托人”根据本合同及其他“交易文件”持有的全部其他财产和金钱；(iii)向继任“受托人”或“贷款服务机构”（作为继任“受托人”的代理人）转让并交付由“信托”所有的“账户记录”；以及(iv)采取一切必要的或被合理要求的行动完善向继任“受托人”转让相应财产和金钱的行为。</w:t>
      </w:r>
    </w:p>
    <w:p w14:paraId="2946E8D7">
      <w:pPr>
        <w:numPr>
          <w:ilvl w:val="1"/>
          <w:numId w:val="6"/>
        </w:numPr>
        <w:spacing w:before="156" w:beforeLines="50" w:after="156" w:afterLines="50" w:line="360" w:lineRule="auto"/>
        <w:outlineLvl w:val="1"/>
        <w:rPr>
          <w:rFonts w:ascii="Times New Roman" w:hAnsi="Times New Roman" w:eastAsia="楷体_GB2312"/>
          <w:b/>
          <w:sz w:val="24"/>
        </w:rPr>
      </w:pPr>
      <w:bookmarkStart w:id="1113" w:name="_DV_M536"/>
      <w:bookmarkEnd w:id="1113"/>
      <w:r>
        <w:rPr>
          <w:rFonts w:ascii="Times New Roman" w:hAnsi="Times New Roman" w:eastAsia="楷体_GB2312"/>
          <w:b/>
          <w:sz w:val="24"/>
        </w:rPr>
        <w:t>费用和支出的负担</w:t>
      </w:r>
    </w:p>
    <w:p w14:paraId="205F5886">
      <w:pPr>
        <w:spacing w:before="156" w:beforeLines="50" w:after="156" w:afterLines="50" w:line="360" w:lineRule="auto"/>
        <w:ind w:left="851"/>
        <w:rPr>
          <w:rFonts w:ascii="Times New Roman" w:hAnsi="Times New Roman" w:eastAsia="楷体_GB2312"/>
          <w:w w:val="0"/>
          <w:sz w:val="24"/>
          <w:lang w:val="en-GB"/>
        </w:rPr>
      </w:pPr>
      <w:r>
        <w:rPr>
          <w:rFonts w:ascii="Times New Roman" w:hAnsi="Times New Roman" w:eastAsia="楷体_GB2312"/>
          <w:w w:val="0"/>
          <w:sz w:val="24"/>
          <w:lang w:val="en-GB"/>
        </w:rPr>
        <w:t>“受托人”根据本合同第</w:t>
      </w:r>
      <w:r>
        <w:rPr>
          <w:rFonts w:ascii="Times New Roman" w:hAnsi="Times New Roman" w:eastAsia="楷体_GB2312"/>
          <w:sz w:val="24"/>
        </w:rPr>
        <w:fldChar w:fldCharType="begin"/>
      </w:r>
      <w:r>
        <w:rPr>
          <w:rFonts w:ascii="Times New Roman" w:hAnsi="Times New Roman" w:eastAsia="楷体_GB2312"/>
          <w:w w:val="0"/>
          <w:sz w:val="24"/>
          <w:lang w:val="en-GB"/>
        </w:rPr>
        <w:instrText xml:space="preserve"> REF _Ref347324160 \r \h </w:instrText>
      </w:r>
      <w:r>
        <w:rPr>
          <w:rFonts w:ascii="Times New Roman" w:hAnsi="Times New Roman" w:eastAsia="楷体_GB2312"/>
          <w:sz w:val="24"/>
        </w:rPr>
        <w:instrText xml:space="preserve"> \* MERGEFORMAT </w:instrText>
      </w:r>
      <w:r>
        <w:rPr>
          <w:rFonts w:ascii="Times New Roman" w:hAnsi="Times New Roman" w:eastAsia="楷体_GB2312"/>
          <w:sz w:val="24"/>
        </w:rPr>
        <w:fldChar w:fldCharType="separate"/>
      </w:r>
      <w:r>
        <w:rPr>
          <w:rFonts w:ascii="Times New Roman" w:hAnsi="Times New Roman" w:eastAsia="楷体_GB2312"/>
          <w:w w:val="0"/>
          <w:sz w:val="24"/>
          <w:lang w:val="en-GB"/>
        </w:rPr>
        <w:t>15.1</w:t>
      </w:r>
      <w:r>
        <w:rPr>
          <w:rFonts w:ascii="Times New Roman" w:hAnsi="Times New Roman" w:eastAsia="楷体_GB2312"/>
          <w:sz w:val="24"/>
        </w:rPr>
        <w:fldChar w:fldCharType="end"/>
      </w:r>
      <w:r>
        <w:rPr>
          <w:rFonts w:ascii="Times New Roman" w:hAnsi="Times New Roman" w:eastAsia="楷体_GB2312"/>
          <w:w w:val="0"/>
          <w:sz w:val="24"/>
          <w:lang w:val="en-GB"/>
        </w:rPr>
        <w:t>款辞任或根据第</w:t>
      </w:r>
      <w:r>
        <w:rPr>
          <w:rFonts w:ascii="Times New Roman" w:hAnsi="Times New Roman" w:eastAsia="楷体_GB2312"/>
          <w:sz w:val="24"/>
        </w:rPr>
        <w:fldChar w:fldCharType="begin"/>
      </w:r>
      <w:r>
        <w:rPr>
          <w:rFonts w:ascii="Times New Roman" w:hAnsi="Times New Roman" w:eastAsia="楷体_GB2312"/>
          <w:w w:val="0"/>
          <w:sz w:val="24"/>
          <w:lang w:val="en-GB"/>
        </w:rPr>
        <w:instrText xml:space="preserve"> REF _Ref182904582 \r \h </w:instrText>
      </w:r>
      <w:r>
        <w:rPr>
          <w:rFonts w:ascii="Times New Roman" w:hAnsi="Times New Roman" w:eastAsia="楷体_GB2312"/>
          <w:sz w:val="24"/>
        </w:rPr>
        <w:instrText xml:space="preserve"> \* MERGEFORMAT </w:instrText>
      </w:r>
      <w:r>
        <w:rPr>
          <w:rFonts w:ascii="Times New Roman" w:hAnsi="Times New Roman" w:eastAsia="楷体_GB2312"/>
          <w:sz w:val="24"/>
        </w:rPr>
        <w:fldChar w:fldCharType="separate"/>
      </w:r>
      <w:r>
        <w:rPr>
          <w:rFonts w:ascii="Times New Roman" w:hAnsi="Times New Roman" w:eastAsia="楷体_GB2312"/>
          <w:w w:val="0"/>
          <w:sz w:val="24"/>
          <w:lang w:val="en-GB"/>
        </w:rPr>
        <w:t>15.2</w:t>
      </w:r>
      <w:r>
        <w:rPr>
          <w:rFonts w:ascii="Times New Roman" w:hAnsi="Times New Roman" w:eastAsia="楷体_GB2312"/>
          <w:sz w:val="24"/>
        </w:rPr>
        <w:fldChar w:fldCharType="end"/>
      </w:r>
      <w:r>
        <w:rPr>
          <w:rFonts w:ascii="Times New Roman" w:hAnsi="Times New Roman" w:eastAsia="楷体_GB2312"/>
          <w:w w:val="0"/>
          <w:sz w:val="24"/>
          <w:lang w:val="en-GB"/>
        </w:rPr>
        <w:t>款被解任的，应承担因下列事项发生的全部费用和支出：(i)向继任“受托人”转让辞任或被解任“受托人”在本合同项下的全部权利、权力、职责和义务；(ii)按照应适用的“中国”“法律”向继任“受托人”转让全部“信托财产”并对该等转让予以完善；(iii)将与“信托”有关的全部记录和其他文件交付给继任“受托人”；以及(iv)“中国”“法律”要求的全部相关行为。</w:t>
      </w:r>
      <w:bookmarkEnd w:id="1104"/>
      <w:bookmarkStart w:id="1114" w:name="_Toc112667951"/>
      <w:bookmarkEnd w:id="1114"/>
      <w:bookmarkStart w:id="1115" w:name="_DV_M213"/>
      <w:bookmarkEnd w:id="1115"/>
      <w:bookmarkStart w:id="1116" w:name="_DV_M212"/>
      <w:bookmarkEnd w:id="1116"/>
      <w:bookmarkStart w:id="1117" w:name="_Toc148384254"/>
      <w:bookmarkEnd w:id="1117"/>
      <w:bookmarkStart w:id="1118" w:name="_DV_M211"/>
      <w:bookmarkEnd w:id="1118"/>
      <w:bookmarkStart w:id="1119" w:name="_Toc112668124"/>
      <w:bookmarkEnd w:id="1119"/>
      <w:bookmarkStart w:id="1120" w:name="_Toc148440842"/>
      <w:bookmarkEnd w:id="1120"/>
      <w:bookmarkStart w:id="1121" w:name="_Toc148440841"/>
      <w:bookmarkEnd w:id="1121"/>
      <w:bookmarkStart w:id="1122" w:name="_Toc148384255"/>
      <w:bookmarkEnd w:id="1122"/>
    </w:p>
    <w:p w14:paraId="04D3CD0C">
      <w:pPr>
        <w:numPr>
          <w:ilvl w:val="0"/>
          <w:numId w:val="6"/>
        </w:numPr>
        <w:spacing w:before="156" w:beforeLines="50" w:after="156" w:afterLines="50" w:line="360" w:lineRule="auto"/>
        <w:outlineLvl w:val="0"/>
        <w:rPr>
          <w:rFonts w:ascii="Times New Roman" w:hAnsi="Times New Roman" w:eastAsia="楷体_GB2312"/>
          <w:b/>
          <w:sz w:val="24"/>
        </w:rPr>
      </w:pPr>
      <w:bookmarkStart w:id="1123" w:name="_Toc227694336"/>
      <w:bookmarkStart w:id="1124" w:name="_Toc111281805"/>
      <w:bookmarkStart w:id="1125" w:name="_Toc201569431"/>
      <w:bookmarkStart w:id="1126" w:name="_Toc110153448"/>
      <w:r>
        <w:rPr>
          <w:rFonts w:ascii="Times New Roman" w:hAnsi="Times New Roman" w:eastAsia="楷体_GB2312"/>
          <w:b/>
          <w:sz w:val="24"/>
        </w:rPr>
        <w:t>信托的核算</w:t>
      </w:r>
      <w:bookmarkEnd w:id="1123"/>
    </w:p>
    <w:p w14:paraId="4C6DF9F5">
      <w:pPr>
        <w:numPr>
          <w:ilvl w:val="1"/>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“受托人”应按照“中国”“法律”的要求进行“信托财产”记账和会计核算。</w:t>
      </w:r>
    </w:p>
    <w:p w14:paraId="321B197A">
      <w:pPr>
        <w:numPr>
          <w:ilvl w:val="1"/>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“受托人”开立“信托账户”专门用于“信托”项下的资金结算，进行核算管理，确保“信托”项下的“信托财产”与“受托人”的固有财产和其他信托项下的财产分开管理、分账核算。</w:t>
      </w:r>
    </w:p>
    <w:p w14:paraId="54AD1F42">
      <w:pPr>
        <w:numPr>
          <w:ilvl w:val="1"/>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“受托人”为“信托”建立单独的会计记录和财务报表，确保“信托财产”的独立性。</w:t>
      </w:r>
    </w:p>
    <w:p w14:paraId="1094FAD3">
      <w:pPr>
        <w:numPr>
          <w:ilvl w:val="1"/>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信托”将作为独立的会计核算主体，以持续经营为前提，单独记账、单独核算、单独编制财务会计报告，独立核算“信托财产”的管理、运用和处分情况。“受托人”、“贷款服务机构”和“资金保管机构”分工完成整个信托过程的会计处理；“受托人”依照“贷款服务机构”和“资金保管机构”分别提供的“贷款服务机构报告”、“贷款服务机构”会计信息、“资金保管机构报告”等信息进行会计核算，编制“信托”的会计报表。“信托”会计处理的具体原则和方式参见本合同</w:t>
      </w:r>
      <w:r>
        <w:rPr>
          <w:rFonts w:ascii="Times New Roman" w:hAnsi="Times New Roman" w:eastAsia="楷体_GB2312"/>
          <w:b/>
          <w:i/>
          <w:sz w:val="24"/>
        </w:rPr>
        <w:t>附件九</w:t>
      </w:r>
      <w:r>
        <w:rPr>
          <w:rFonts w:ascii="Times New Roman" w:hAnsi="Times New Roman" w:eastAsia="楷体_GB2312"/>
          <w:sz w:val="24"/>
        </w:rPr>
        <w:t>。</w:t>
      </w:r>
      <w:bookmarkEnd w:id="1124"/>
      <w:bookmarkEnd w:id="1125"/>
      <w:bookmarkEnd w:id="1126"/>
    </w:p>
    <w:p w14:paraId="3E672DF2">
      <w:pPr>
        <w:numPr>
          <w:ilvl w:val="0"/>
          <w:numId w:val="6"/>
        </w:numPr>
        <w:spacing w:before="156" w:beforeLines="50" w:after="156" w:afterLines="50" w:line="360" w:lineRule="auto"/>
        <w:outlineLvl w:val="0"/>
        <w:rPr>
          <w:rFonts w:ascii="Times New Roman" w:hAnsi="Times New Roman" w:eastAsia="楷体_GB2312"/>
          <w:b/>
          <w:sz w:val="24"/>
        </w:rPr>
      </w:pPr>
      <w:bookmarkStart w:id="1127" w:name="_Toc111281807"/>
      <w:bookmarkStart w:id="1128" w:name="_Toc110153450"/>
      <w:bookmarkStart w:id="1129" w:name="_Toc201569432"/>
      <w:bookmarkStart w:id="1130" w:name="_Toc227694337"/>
      <w:bookmarkStart w:id="1131" w:name="_Toc92612937"/>
      <w:r>
        <w:rPr>
          <w:rFonts w:ascii="Times New Roman" w:hAnsi="Times New Roman" w:eastAsia="楷体_GB2312"/>
          <w:b/>
          <w:sz w:val="24"/>
        </w:rPr>
        <w:t>费用</w:t>
      </w:r>
      <w:bookmarkEnd w:id="1127"/>
      <w:bookmarkEnd w:id="1128"/>
      <w:bookmarkEnd w:id="1129"/>
      <w:r>
        <w:rPr>
          <w:rFonts w:ascii="Times New Roman" w:hAnsi="Times New Roman" w:eastAsia="楷体_GB2312"/>
          <w:b/>
          <w:sz w:val="24"/>
        </w:rPr>
        <w:t>和报酬</w:t>
      </w:r>
      <w:bookmarkEnd w:id="1130"/>
    </w:p>
    <w:bookmarkEnd w:id="1131"/>
    <w:p w14:paraId="175A66B9">
      <w:pPr>
        <w:numPr>
          <w:ilvl w:val="1"/>
          <w:numId w:val="6"/>
        </w:numPr>
        <w:tabs>
          <w:tab w:val="left" w:pos="1134"/>
          <w:tab w:val="left" w:pos="1800"/>
        </w:tabs>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委托人承担的费用</w:t>
      </w:r>
    </w:p>
    <w:p w14:paraId="02237777">
      <w:pPr>
        <w:spacing w:before="156" w:beforeLines="50" w:after="156" w:afterLines="50" w:line="360" w:lineRule="auto"/>
        <w:ind w:left="992"/>
        <w:rPr>
          <w:rFonts w:ascii="Times New Roman" w:hAnsi="Times New Roman" w:eastAsia="楷体_GB2312"/>
          <w:sz w:val="24"/>
        </w:rPr>
      </w:pPr>
      <w:r>
        <w:rPr>
          <w:rFonts w:ascii="Times New Roman" w:hAnsi="Times New Roman" w:eastAsia="楷体_GB2312"/>
          <w:sz w:val="24"/>
        </w:rPr>
        <w:t>以下费用由“委托人”承担：</w:t>
      </w:r>
    </w:p>
    <w:p w14:paraId="25AAC2CF">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“执行费用”（“委托人”担任“贷款服务机构”时）；</w:t>
      </w:r>
    </w:p>
    <w:p w14:paraId="230049FB">
      <w:pPr>
        <w:numPr>
          <w:ilvl w:val="2"/>
          <w:numId w:val="6"/>
        </w:numPr>
        <w:tabs>
          <w:tab w:val="left" w:pos="900"/>
        </w:tabs>
        <w:spacing w:before="156" w:beforeLines="50" w:after="156" w:afterLines="50" w:line="360" w:lineRule="auto"/>
        <w:ind w:left="1620" w:hanging="769"/>
        <w:rPr>
          <w:rFonts w:ascii="Times New Roman" w:hAnsi="Times New Roman" w:eastAsia="楷体_GB2312"/>
          <w:b/>
          <w:sz w:val="24"/>
        </w:rPr>
      </w:pPr>
      <w:r>
        <w:rPr>
          <w:rFonts w:ascii="Times New Roman" w:hAnsi="Times New Roman" w:eastAsia="楷体_GB2312"/>
          <w:sz w:val="24"/>
        </w:rPr>
        <w:t>因进行“不合格资产”“赎回”所发生的费用（如有）；</w:t>
      </w:r>
    </w:p>
    <w:p w14:paraId="5D22F74D">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发生“清仓回购”的，“受托人”配合“委托人”办理必要的变更登记和通知手续（如有）所发生的费用；</w:t>
      </w:r>
    </w:p>
    <w:p w14:paraId="21762C00">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发送“权利完善通知”的费用（如有）；</w:t>
      </w:r>
    </w:p>
    <w:p w14:paraId="4D82CC79">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“中国”“法律”规定或本合同约定的应由“委托人”承担的其</w:t>
      </w:r>
      <w:r>
        <w:rPr>
          <w:rFonts w:hint="eastAsia" w:ascii="Times New Roman" w:hAnsi="Times New Roman" w:eastAsia="楷体_GB2312"/>
          <w:sz w:val="24"/>
        </w:rPr>
        <w:t>他</w:t>
      </w:r>
      <w:r>
        <w:rPr>
          <w:rFonts w:ascii="Times New Roman" w:hAnsi="Times New Roman" w:eastAsia="楷体_GB2312"/>
          <w:sz w:val="24"/>
        </w:rPr>
        <w:t>费用和支出。</w:t>
      </w:r>
    </w:p>
    <w:p w14:paraId="2DEB1AF2">
      <w:pPr>
        <w:tabs>
          <w:tab w:val="left" w:pos="941"/>
        </w:tabs>
        <w:spacing w:line="360" w:lineRule="auto"/>
        <w:ind w:left="420" w:leftChars="200" w:firstLine="964" w:firstLineChars="400"/>
        <w:rPr>
          <w:rFonts w:ascii="Times New Roman" w:hAnsi="Times New Roman" w:eastAsia="楷体_GB2312"/>
          <w:color w:val="000000"/>
          <w:sz w:val="24"/>
        </w:rPr>
      </w:pPr>
      <w:r>
        <w:rPr>
          <w:rFonts w:eastAsia="楷体_GB2312"/>
          <w:b/>
          <w:bCs/>
          <w:i/>
          <w:iCs/>
          <w:color w:val="FF0000"/>
          <w:sz w:val="24"/>
        </w:rPr>
        <w:t>【注：委托人承担费用的范围根据具体项目的需要进行调整。】</w:t>
      </w:r>
    </w:p>
    <w:p w14:paraId="2F75795A">
      <w:pPr>
        <w:numPr>
          <w:ilvl w:val="1"/>
          <w:numId w:val="6"/>
        </w:numPr>
        <w:tabs>
          <w:tab w:val="left" w:pos="1134"/>
          <w:tab w:val="left" w:pos="1800"/>
        </w:tabs>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信托财产承担的费用</w:t>
      </w:r>
    </w:p>
    <w:p w14:paraId="48BD3774">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下列费用应由“信托财产”承担，并应按照本合同约定的支付顺序予以支付：</w:t>
      </w:r>
    </w:p>
    <w:p w14:paraId="1E053B1A">
      <w:pPr>
        <w:numPr>
          <w:ilvl w:val="0"/>
          <w:numId w:val="38"/>
        </w:numPr>
        <w:spacing w:before="156" w:beforeLines="50" w:after="156" w:afterLines="50" w:line="360" w:lineRule="auto"/>
        <w:rPr>
          <w:rFonts w:ascii="Times New Roman" w:hAnsi="Times New Roman" w:eastAsia="楷体_GB2312"/>
          <w:sz w:val="24"/>
        </w:rPr>
      </w:pPr>
      <w:r>
        <w:rPr>
          <w:rFonts w:ascii="Times New Roman" w:hAnsi="Times New Roman" w:eastAsia="楷体_GB2312"/>
          <w:bCs/>
          <w:sz w:val="24"/>
        </w:rPr>
        <w:t>按照</w:t>
      </w:r>
      <w:r>
        <w:rPr>
          <w:rFonts w:ascii="Times New Roman" w:hAnsi="Times New Roman" w:eastAsia="楷体_GB2312"/>
          <w:sz w:val="24"/>
        </w:rPr>
        <w:t>相关“</w:t>
      </w:r>
      <w:r>
        <w:rPr>
          <w:rFonts w:ascii="Times New Roman" w:hAnsi="Times New Roman" w:eastAsia="楷体_GB2312"/>
          <w:bCs/>
          <w:sz w:val="24"/>
        </w:rPr>
        <w:t>中国</w:t>
      </w:r>
      <w:r>
        <w:rPr>
          <w:rFonts w:ascii="Times New Roman" w:hAnsi="Times New Roman" w:eastAsia="楷体_GB2312"/>
          <w:sz w:val="24"/>
        </w:rPr>
        <w:t>”“</w:t>
      </w:r>
      <w:r>
        <w:rPr>
          <w:rFonts w:ascii="Times New Roman" w:hAnsi="Times New Roman" w:eastAsia="楷体_GB2312"/>
          <w:bCs/>
          <w:sz w:val="24"/>
        </w:rPr>
        <w:t>法律</w:t>
      </w:r>
      <w:r>
        <w:rPr>
          <w:rFonts w:ascii="Times New Roman" w:hAnsi="Times New Roman" w:eastAsia="楷体_GB2312"/>
          <w:sz w:val="24"/>
        </w:rPr>
        <w:t>”规定应由“信托财产”承担的“税收”；</w:t>
      </w:r>
    </w:p>
    <w:p w14:paraId="49B925BE">
      <w:pPr>
        <w:numPr>
          <w:ilvl w:val="0"/>
          <w:numId w:val="38"/>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“承销报酬”及信托发起设立时“受托人”收取的信托报酬；</w:t>
      </w:r>
    </w:p>
    <w:p w14:paraId="5EE9C6EF">
      <w:pPr>
        <w:numPr>
          <w:ilvl w:val="0"/>
          <w:numId w:val="38"/>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为设立“信托”和发行“资产支持证券”之目的而发生的发行登记服务费、资金汇划费、信托公告费等必要费用（如有），该等费用由“受托人”先行垫付；</w:t>
      </w:r>
    </w:p>
    <w:p w14:paraId="4981A1A8">
      <w:pPr>
        <w:numPr>
          <w:ilvl w:val="0"/>
          <w:numId w:val="38"/>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委托“法律顾问”、“会计顾问</w:t>
      </w:r>
      <w:r>
        <w:rPr>
          <w:rFonts w:hint="eastAsia" w:ascii="Times New Roman" w:hAnsi="Times New Roman" w:eastAsia="楷体_GB2312"/>
          <w:sz w:val="24"/>
        </w:rPr>
        <w:t>/税务</w:t>
      </w:r>
      <w:r>
        <w:rPr>
          <w:rFonts w:ascii="Times New Roman" w:hAnsi="Times New Roman" w:eastAsia="楷体_GB2312"/>
          <w:sz w:val="24"/>
        </w:rPr>
        <w:t>顾问”进行尽职调查、执行商定程序并出具专业意见，以及委托“评级机构”对“优先级资产支持证券”进行初始评级所应付的报酬；</w:t>
      </w:r>
    </w:p>
    <w:p w14:paraId="0D2373EA">
      <w:pPr>
        <w:numPr>
          <w:ilvl w:val="0"/>
          <w:numId w:val="38"/>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“信托”存续期间，“受托人”、“贷款服务机构”、“后备贷款服务机构”、“资金保管机构”、“支付代理机构”、“评级机构”（提供跟踪评级服务）、“审计师”的报酬；</w:t>
      </w:r>
    </w:p>
    <w:p w14:paraId="24228F3B">
      <w:pPr>
        <w:numPr>
          <w:ilvl w:val="0"/>
          <w:numId w:val="38"/>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“费用支出”；</w:t>
      </w:r>
    </w:p>
    <w:p w14:paraId="5CDD9F40">
      <w:pPr>
        <w:numPr>
          <w:ilvl w:val="0"/>
          <w:numId w:val="38"/>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因清算“信托财产”所发生的费用；</w:t>
      </w:r>
    </w:p>
    <w:p w14:paraId="3D334BC4">
      <w:pPr>
        <w:numPr>
          <w:ilvl w:val="0"/>
          <w:numId w:val="38"/>
        </w:numPr>
        <w:spacing w:before="156" w:beforeLines="50" w:after="156" w:afterLines="50" w:line="360" w:lineRule="auto"/>
        <w:rPr>
          <w:rFonts w:ascii="Times New Roman" w:hAnsi="Times New Roman" w:eastAsia="楷体_GB2312"/>
          <w:sz w:val="24"/>
        </w:rPr>
      </w:pPr>
      <w:bookmarkStart w:id="1132" w:name="OLE_LINK8"/>
      <w:bookmarkStart w:id="1133" w:name="OLE_LINK7"/>
      <w:r>
        <w:rPr>
          <w:rFonts w:ascii="Times New Roman" w:hAnsi="Times New Roman" w:eastAsia="楷体_GB2312"/>
          <w:sz w:val="24"/>
        </w:rPr>
        <w:t>“中国”“法律”规定或“交易文件”约定的应由“信托财产”承担的其</w:t>
      </w:r>
      <w:r>
        <w:rPr>
          <w:rFonts w:hint="eastAsia" w:ascii="Times New Roman" w:hAnsi="Times New Roman" w:eastAsia="楷体_GB2312"/>
          <w:sz w:val="24"/>
        </w:rPr>
        <w:t>他</w:t>
      </w:r>
      <w:r>
        <w:rPr>
          <w:rFonts w:ascii="Times New Roman" w:hAnsi="Times New Roman" w:eastAsia="楷体_GB2312"/>
          <w:sz w:val="24"/>
        </w:rPr>
        <w:t>费用和支出</w:t>
      </w:r>
      <w:bookmarkEnd w:id="1132"/>
      <w:bookmarkEnd w:id="1133"/>
      <w:r>
        <w:rPr>
          <w:rFonts w:ascii="Times New Roman" w:hAnsi="Times New Roman" w:eastAsia="楷体_GB2312"/>
          <w:sz w:val="24"/>
        </w:rPr>
        <w:t>。</w:t>
      </w:r>
    </w:p>
    <w:p w14:paraId="73EE7F28">
      <w:pPr>
        <w:tabs>
          <w:tab w:val="left" w:pos="941"/>
        </w:tabs>
        <w:spacing w:line="360" w:lineRule="auto"/>
        <w:ind w:left="420" w:leftChars="200" w:firstLine="964" w:firstLineChars="400"/>
        <w:rPr>
          <w:rFonts w:eastAsia="楷体_GB2312"/>
          <w:b/>
          <w:bCs/>
          <w:i/>
          <w:iCs/>
          <w:color w:val="FF0000"/>
          <w:sz w:val="24"/>
        </w:rPr>
      </w:pPr>
      <w:r>
        <w:rPr>
          <w:rFonts w:hint="eastAsia" w:eastAsia="楷体_GB2312"/>
          <w:b/>
          <w:bCs/>
          <w:i/>
          <w:iCs/>
          <w:color w:val="FF0000"/>
          <w:sz w:val="24"/>
        </w:rPr>
        <w:t>【注：信托财产承担费用的范围根据具体项目的需要进行调整。】</w:t>
      </w:r>
    </w:p>
    <w:p w14:paraId="1F912362">
      <w:pPr>
        <w:numPr>
          <w:ilvl w:val="1"/>
          <w:numId w:val="6"/>
        </w:numPr>
        <w:tabs>
          <w:tab w:val="left" w:pos="1134"/>
          <w:tab w:val="left" w:pos="1800"/>
        </w:tabs>
        <w:spacing w:before="156" w:beforeLines="50" w:after="156" w:afterLines="50" w:line="360" w:lineRule="auto"/>
        <w:rPr>
          <w:rFonts w:ascii="Times New Roman" w:hAnsi="Times New Roman" w:eastAsia="楷体_GB2312"/>
          <w:b/>
          <w:sz w:val="24"/>
        </w:rPr>
      </w:pPr>
      <w:bookmarkStart w:id="1134" w:name="_Ref204504967"/>
      <w:r>
        <w:rPr>
          <w:rFonts w:ascii="Times New Roman" w:hAnsi="Times New Roman" w:eastAsia="楷体_GB2312"/>
          <w:b/>
          <w:sz w:val="24"/>
        </w:rPr>
        <w:t>受托</w:t>
      </w:r>
      <w:bookmarkStart w:id="1135" w:name="_Toc92612939"/>
      <w:r>
        <w:rPr>
          <w:rFonts w:ascii="Times New Roman" w:hAnsi="Times New Roman" w:eastAsia="楷体_GB2312"/>
          <w:b/>
          <w:sz w:val="24"/>
        </w:rPr>
        <w:t>人的报酬</w:t>
      </w:r>
      <w:bookmarkEnd w:id="1134"/>
      <w:bookmarkEnd w:id="1135"/>
    </w:p>
    <w:p w14:paraId="1E073833">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“受托人”根据本合同履行“受托人”职责的报酬由“信托财产”承担，并按照本合同第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_Ref201563930 \r \h  \* MERGEFORMAT </w:instrText>
      </w:r>
      <w:r>
        <w:rPr>
          <w:rFonts w:ascii="Times New Roman" w:hAnsi="Times New Roman" w:eastAsia="楷体_GB2312"/>
          <w:sz w:val="24"/>
        </w:rPr>
        <w:fldChar w:fldCharType="separate"/>
      </w:r>
      <w:r>
        <w:rPr>
          <w:rFonts w:ascii="Times New Roman" w:hAnsi="Times New Roman" w:eastAsia="楷体_GB2312"/>
          <w:sz w:val="24"/>
        </w:rPr>
        <w:t>11</w:t>
      </w:r>
      <w:r>
        <w:rPr>
          <w:rFonts w:ascii="Times New Roman" w:hAnsi="Times New Roman" w:eastAsia="楷体_GB2312"/>
          <w:sz w:val="24"/>
        </w:rPr>
        <w:fldChar w:fldCharType="end"/>
      </w:r>
      <w:r>
        <w:rPr>
          <w:rFonts w:ascii="Times New Roman" w:hAnsi="Times New Roman" w:eastAsia="楷体_GB2312"/>
          <w:sz w:val="24"/>
        </w:rPr>
        <w:t>条约定的支付顺序，“受托人”收取的报酬金额为“委托人”与“受托人”签署的“收费文件”中列示的金额。</w:t>
      </w:r>
    </w:p>
    <w:p w14:paraId="1603CEF4">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未经“资产支持证券持有人大会”的同意并通知“评级机构”，“受托人”报酬不得增加。</w:t>
      </w:r>
    </w:p>
    <w:p w14:paraId="2B2712A0">
      <w:pPr>
        <w:numPr>
          <w:ilvl w:val="1"/>
          <w:numId w:val="6"/>
        </w:numPr>
        <w:tabs>
          <w:tab w:val="left" w:pos="1134"/>
          <w:tab w:val="left" w:pos="1800"/>
        </w:tabs>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其他机构的报酬</w:t>
      </w:r>
    </w:p>
    <w:p w14:paraId="15024F81">
      <w:pPr>
        <w:spacing w:before="156" w:beforeLines="50" w:after="156" w:afterLines="50" w:line="360" w:lineRule="auto"/>
        <w:ind w:left="992"/>
        <w:rPr>
          <w:rFonts w:ascii="Times New Roman" w:hAnsi="Times New Roman" w:eastAsia="楷体_GB2312"/>
          <w:sz w:val="24"/>
        </w:rPr>
      </w:pPr>
      <w:r>
        <w:rPr>
          <w:rFonts w:ascii="Times New Roman" w:hAnsi="Times New Roman" w:eastAsia="楷体_GB2312"/>
          <w:sz w:val="24"/>
        </w:rPr>
        <w:t>除“受托人”以外的</w:t>
      </w:r>
      <w:r>
        <w:rPr>
          <w:rFonts w:hint="eastAsia" w:ascii="Times New Roman" w:hAnsi="Times New Roman" w:eastAsia="楷体_GB2312"/>
          <w:sz w:val="24"/>
        </w:rPr>
        <w:t>其他机构</w:t>
      </w:r>
      <w:r>
        <w:rPr>
          <w:rFonts w:ascii="Times New Roman" w:hAnsi="Times New Roman" w:eastAsia="楷体_GB2312"/>
          <w:sz w:val="24"/>
        </w:rPr>
        <w:t>的服务报酬应为相关根据本合同履行相应职责的报酬应为相关“收费文件”中列示的金额，并按照本合同第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_Ref201563930 \r \h  \* MERGEFORMAT </w:instrText>
      </w:r>
      <w:r>
        <w:rPr>
          <w:rFonts w:ascii="Times New Roman" w:hAnsi="Times New Roman" w:eastAsia="楷体_GB2312"/>
          <w:sz w:val="24"/>
        </w:rPr>
        <w:fldChar w:fldCharType="separate"/>
      </w:r>
      <w:r>
        <w:rPr>
          <w:rFonts w:ascii="Times New Roman" w:hAnsi="Times New Roman" w:eastAsia="楷体_GB2312"/>
          <w:sz w:val="24"/>
        </w:rPr>
        <w:t>11</w:t>
      </w:r>
      <w:r>
        <w:rPr>
          <w:rFonts w:ascii="Times New Roman" w:hAnsi="Times New Roman" w:eastAsia="楷体_GB2312"/>
          <w:sz w:val="24"/>
        </w:rPr>
        <w:fldChar w:fldCharType="end"/>
      </w:r>
      <w:r>
        <w:rPr>
          <w:rFonts w:ascii="Times New Roman" w:hAnsi="Times New Roman" w:eastAsia="楷体_GB2312"/>
          <w:sz w:val="24"/>
        </w:rPr>
        <w:t>条约定的支付顺序予以支付。</w:t>
      </w:r>
    </w:p>
    <w:p w14:paraId="14B0D75D">
      <w:pPr>
        <w:numPr>
          <w:ilvl w:val="0"/>
          <w:numId w:val="6"/>
        </w:numPr>
        <w:spacing w:before="156" w:beforeLines="50" w:after="156" w:afterLines="50" w:line="360" w:lineRule="auto"/>
        <w:outlineLvl w:val="0"/>
        <w:rPr>
          <w:rFonts w:ascii="Times New Roman" w:hAnsi="Times New Roman" w:eastAsia="楷体_GB2312"/>
          <w:b/>
          <w:sz w:val="24"/>
        </w:rPr>
      </w:pPr>
      <w:bookmarkStart w:id="1136" w:name="_Toc107916032"/>
      <w:bookmarkEnd w:id="1136"/>
      <w:bookmarkStart w:id="1137" w:name="_Toc146349293"/>
      <w:bookmarkEnd w:id="1137"/>
      <w:bookmarkStart w:id="1138" w:name="_Toc146349292"/>
      <w:bookmarkEnd w:id="1138"/>
      <w:bookmarkStart w:id="1139" w:name="_Toc107916195"/>
      <w:bookmarkEnd w:id="1139"/>
      <w:bookmarkStart w:id="1140" w:name="_Toc107916033"/>
      <w:bookmarkEnd w:id="1140"/>
      <w:bookmarkStart w:id="1141" w:name="_Toc107916196"/>
      <w:bookmarkEnd w:id="1141"/>
      <w:bookmarkStart w:id="1142" w:name="_Toc227694338"/>
      <w:bookmarkStart w:id="1143" w:name="_Toc110153453"/>
      <w:bookmarkStart w:id="1144" w:name="_Toc201569433"/>
      <w:bookmarkStart w:id="1145" w:name="_Toc111281808"/>
      <w:r>
        <w:rPr>
          <w:rFonts w:ascii="Times New Roman" w:hAnsi="Times New Roman" w:eastAsia="楷体_GB2312"/>
          <w:b/>
          <w:sz w:val="24"/>
        </w:rPr>
        <w:t>税负</w:t>
      </w:r>
      <w:bookmarkStart w:id="1146" w:name="_Toc92612942"/>
      <w:r>
        <w:rPr>
          <w:rFonts w:ascii="Times New Roman" w:hAnsi="Times New Roman" w:eastAsia="楷体_GB2312"/>
          <w:b/>
          <w:sz w:val="24"/>
        </w:rPr>
        <w:t>承担</w:t>
      </w:r>
      <w:bookmarkEnd w:id="1142"/>
      <w:bookmarkEnd w:id="1143"/>
      <w:bookmarkEnd w:id="1144"/>
      <w:bookmarkEnd w:id="1145"/>
    </w:p>
    <w:bookmarkEnd w:id="1146"/>
    <w:p w14:paraId="5F42D9E8">
      <w:pPr>
        <w:spacing w:before="156" w:beforeLines="50" w:after="156" w:afterLines="50" w:line="360" w:lineRule="auto"/>
        <w:ind w:left="420"/>
        <w:rPr>
          <w:rFonts w:ascii="Times New Roman" w:hAnsi="Times New Roman" w:eastAsia="楷体_GB2312"/>
          <w:bCs/>
          <w:sz w:val="24"/>
        </w:rPr>
      </w:pPr>
      <w:r>
        <w:rPr>
          <w:rFonts w:ascii="Times New Roman" w:hAnsi="Times New Roman" w:eastAsia="楷体_GB2312"/>
          <w:bCs/>
          <w:sz w:val="24"/>
        </w:rPr>
        <w:t>双方同意在</w:t>
      </w:r>
      <w:r>
        <w:rPr>
          <w:rFonts w:ascii="Times New Roman" w:hAnsi="Times New Roman" w:eastAsia="楷体_GB2312"/>
          <w:sz w:val="24"/>
        </w:rPr>
        <w:t>“</w:t>
      </w:r>
      <w:r>
        <w:rPr>
          <w:rFonts w:ascii="Times New Roman" w:hAnsi="Times New Roman" w:eastAsia="楷体_GB2312"/>
          <w:bCs/>
          <w:sz w:val="24"/>
        </w:rPr>
        <w:t>信托</w:t>
      </w:r>
      <w:r>
        <w:rPr>
          <w:rFonts w:ascii="Times New Roman" w:hAnsi="Times New Roman" w:eastAsia="楷体_GB2312"/>
          <w:sz w:val="24"/>
        </w:rPr>
        <w:t>”</w:t>
      </w:r>
      <w:r>
        <w:rPr>
          <w:rFonts w:ascii="Times New Roman" w:hAnsi="Times New Roman" w:eastAsia="楷体_GB2312"/>
          <w:bCs/>
          <w:sz w:val="24"/>
        </w:rPr>
        <w:t>设立、</w:t>
      </w:r>
      <w:r>
        <w:rPr>
          <w:rFonts w:ascii="Times New Roman" w:hAnsi="Times New Roman" w:eastAsia="楷体_GB2312"/>
          <w:sz w:val="24"/>
        </w:rPr>
        <w:t>“</w:t>
      </w:r>
      <w:r>
        <w:rPr>
          <w:rFonts w:ascii="Times New Roman" w:hAnsi="Times New Roman" w:eastAsia="楷体_GB2312"/>
          <w:bCs/>
          <w:sz w:val="24"/>
        </w:rPr>
        <w:t>信托财产</w:t>
      </w:r>
      <w:r>
        <w:rPr>
          <w:rFonts w:ascii="Times New Roman" w:hAnsi="Times New Roman" w:eastAsia="楷体_GB2312"/>
          <w:sz w:val="24"/>
        </w:rPr>
        <w:t>”</w:t>
      </w:r>
      <w:r>
        <w:rPr>
          <w:rFonts w:ascii="Times New Roman" w:hAnsi="Times New Roman" w:eastAsia="楷体_GB2312"/>
          <w:bCs/>
          <w:sz w:val="24"/>
        </w:rPr>
        <w:t>的管理和运用、处分、</w:t>
      </w:r>
      <w:r>
        <w:rPr>
          <w:rFonts w:ascii="Times New Roman" w:hAnsi="Times New Roman" w:eastAsia="楷体_GB2312"/>
          <w:sz w:val="24"/>
        </w:rPr>
        <w:t>“</w:t>
      </w:r>
      <w:r>
        <w:rPr>
          <w:rFonts w:ascii="Times New Roman" w:hAnsi="Times New Roman" w:eastAsia="楷体_GB2312"/>
          <w:bCs/>
          <w:sz w:val="24"/>
        </w:rPr>
        <w:t>回收款</w:t>
      </w:r>
      <w:r>
        <w:rPr>
          <w:rFonts w:ascii="Times New Roman" w:hAnsi="Times New Roman" w:eastAsia="楷体_GB2312"/>
          <w:sz w:val="24"/>
        </w:rPr>
        <w:t>”</w:t>
      </w:r>
      <w:r>
        <w:rPr>
          <w:rFonts w:ascii="Times New Roman" w:hAnsi="Times New Roman" w:eastAsia="楷体_GB2312"/>
          <w:bCs/>
          <w:sz w:val="24"/>
        </w:rPr>
        <w:t>的分配、</w:t>
      </w:r>
      <w:r>
        <w:rPr>
          <w:rFonts w:ascii="Times New Roman" w:hAnsi="Times New Roman" w:eastAsia="楷体_GB2312"/>
          <w:sz w:val="24"/>
        </w:rPr>
        <w:t>“</w:t>
      </w:r>
      <w:r>
        <w:rPr>
          <w:rFonts w:ascii="Times New Roman" w:hAnsi="Times New Roman" w:eastAsia="楷体_GB2312"/>
          <w:bCs/>
          <w:sz w:val="24"/>
        </w:rPr>
        <w:t>信托</w:t>
      </w:r>
      <w:r>
        <w:rPr>
          <w:rFonts w:ascii="Times New Roman" w:hAnsi="Times New Roman" w:eastAsia="楷体_GB2312"/>
          <w:sz w:val="24"/>
        </w:rPr>
        <w:t>”</w:t>
      </w:r>
      <w:r>
        <w:rPr>
          <w:rFonts w:ascii="Times New Roman" w:hAnsi="Times New Roman" w:eastAsia="楷体_GB2312"/>
          <w:bCs/>
          <w:sz w:val="24"/>
        </w:rPr>
        <w:t>清算等过程中发生的“税收”，由双方按照</w:t>
      </w:r>
      <w:r>
        <w:rPr>
          <w:rFonts w:ascii="Times New Roman" w:hAnsi="Times New Roman" w:eastAsia="楷体_GB2312"/>
          <w:sz w:val="24"/>
        </w:rPr>
        <w:t>相关“</w:t>
      </w:r>
      <w:r>
        <w:rPr>
          <w:rFonts w:ascii="Times New Roman" w:hAnsi="Times New Roman" w:eastAsia="楷体_GB2312"/>
          <w:bCs/>
          <w:sz w:val="24"/>
        </w:rPr>
        <w:t>法律</w:t>
      </w:r>
      <w:r>
        <w:rPr>
          <w:rFonts w:ascii="Times New Roman" w:hAnsi="Times New Roman" w:eastAsia="楷体_GB2312"/>
          <w:sz w:val="24"/>
        </w:rPr>
        <w:t>”规定各自</w:t>
      </w:r>
      <w:r>
        <w:rPr>
          <w:rFonts w:ascii="Times New Roman" w:hAnsi="Times New Roman" w:eastAsia="楷体_GB2312"/>
          <w:bCs/>
          <w:sz w:val="24"/>
        </w:rPr>
        <w:t>承担，按照</w:t>
      </w:r>
      <w:r>
        <w:rPr>
          <w:rFonts w:ascii="Times New Roman" w:hAnsi="Times New Roman" w:eastAsia="楷体_GB2312"/>
          <w:sz w:val="24"/>
        </w:rPr>
        <w:t>相关“</w:t>
      </w:r>
      <w:r>
        <w:rPr>
          <w:rFonts w:ascii="Times New Roman" w:hAnsi="Times New Roman" w:eastAsia="楷体_GB2312"/>
          <w:bCs/>
          <w:sz w:val="24"/>
        </w:rPr>
        <w:t>中国</w:t>
      </w:r>
      <w:r>
        <w:rPr>
          <w:rFonts w:ascii="Times New Roman" w:hAnsi="Times New Roman" w:eastAsia="楷体_GB2312"/>
          <w:sz w:val="24"/>
        </w:rPr>
        <w:t>”“</w:t>
      </w:r>
      <w:r>
        <w:rPr>
          <w:rFonts w:ascii="Times New Roman" w:hAnsi="Times New Roman" w:eastAsia="楷体_GB2312"/>
          <w:bCs/>
          <w:sz w:val="24"/>
        </w:rPr>
        <w:t>法律</w:t>
      </w:r>
      <w:r>
        <w:rPr>
          <w:rFonts w:ascii="Times New Roman" w:hAnsi="Times New Roman" w:eastAsia="楷体_GB2312"/>
          <w:sz w:val="24"/>
        </w:rPr>
        <w:t>”规定应由“</w:t>
      </w:r>
      <w:r>
        <w:rPr>
          <w:rFonts w:ascii="Times New Roman" w:hAnsi="Times New Roman" w:eastAsia="楷体_GB2312"/>
          <w:bCs/>
          <w:sz w:val="24"/>
        </w:rPr>
        <w:t>信托财产</w:t>
      </w:r>
      <w:r>
        <w:rPr>
          <w:rFonts w:ascii="Times New Roman" w:hAnsi="Times New Roman" w:eastAsia="楷体_GB2312"/>
          <w:sz w:val="24"/>
        </w:rPr>
        <w:t>”</w:t>
      </w:r>
      <w:r>
        <w:rPr>
          <w:rFonts w:ascii="Times New Roman" w:hAnsi="Times New Roman" w:eastAsia="楷体_GB2312"/>
          <w:bCs/>
          <w:sz w:val="24"/>
        </w:rPr>
        <w:t>承担的由</w:t>
      </w:r>
      <w:r>
        <w:rPr>
          <w:rFonts w:ascii="Times New Roman" w:hAnsi="Times New Roman" w:eastAsia="楷体_GB2312"/>
          <w:sz w:val="24"/>
        </w:rPr>
        <w:t>“</w:t>
      </w:r>
      <w:r>
        <w:rPr>
          <w:rFonts w:ascii="Times New Roman" w:hAnsi="Times New Roman" w:eastAsia="楷体_GB2312"/>
          <w:bCs/>
          <w:sz w:val="24"/>
        </w:rPr>
        <w:t>信托财产</w:t>
      </w:r>
      <w:r>
        <w:rPr>
          <w:rFonts w:ascii="Times New Roman" w:hAnsi="Times New Roman" w:eastAsia="楷体_GB2312"/>
          <w:sz w:val="24"/>
        </w:rPr>
        <w:t>”</w:t>
      </w:r>
      <w:r>
        <w:rPr>
          <w:rFonts w:ascii="Times New Roman" w:hAnsi="Times New Roman" w:eastAsia="楷体_GB2312"/>
          <w:bCs/>
          <w:sz w:val="24"/>
        </w:rPr>
        <w:t>承担。</w:t>
      </w:r>
    </w:p>
    <w:p w14:paraId="22AE924B">
      <w:pPr>
        <w:spacing w:line="360" w:lineRule="auto"/>
        <w:ind w:left="420"/>
        <w:rPr>
          <w:rFonts w:ascii="Times New Roman" w:hAnsi="Times New Roman" w:eastAsia="楷体_GB2312"/>
          <w:bCs/>
          <w:sz w:val="32"/>
          <w:szCs w:val="32"/>
        </w:rPr>
      </w:pPr>
      <w:r>
        <w:rPr>
          <w:rFonts w:ascii="Times New Roman" w:hAnsi="Times New Roman" w:eastAsia="楷体_GB2312"/>
          <w:b/>
          <w:i/>
          <w:iCs/>
          <w:color w:val="FF0000"/>
          <w:sz w:val="24"/>
          <w:szCs w:val="32"/>
        </w:rPr>
        <w:t>【注：关于税收条款按当时所适用的“中国”“法律”适用和执行，可结合项目实际情况就税收种类以及承担方式等予以具体化进一步在合同中进行明确。】</w:t>
      </w:r>
    </w:p>
    <w:p w14:paraId="1E2F0823">
      <w:pPr>
        <w:numPr>
          <w:ilvl w:val="0"/>
          <w:numId w:val="6"/>
        </w:numPr>
        <w:spacing w:before="156" w:beforeLines="50" w:after="156" w:afterLines="50" w:line="360" w:lineRule="auto"/>
        <w:outlineLvl w:val="0"/>
        <w:rPr>
          <w:rFonts w:ascii="Times New Roman" w:hAnsi="Times New Roman" w:eastAsia="楷体_GB2312"/>
          <w:b/>
          <w:sz w:val="24"/>
        </w:rPr>
      </w:pPr>
      <w:bookmarkStart w:id="1147" w:name="_Toc201569434"/>
      <w:bookmarkStart w:id="1148" w:name="_Ref347323733"/>
      <w:bookmarkStart w:id="1149" w:name="_Toc111281809"/>
      <w:bookmarkStart w:id="1150" w:name="_Toc227694339"/>
      <w:bookmarkStart w:id="1151" w:name="_Ref347323777"/>
      <w:bookmarkStart w:id="1152" w:name="_Toc110153454"/>
      <w:bookmarkStart w:id="1153" w:name="_Ref173768296"/>
      <w:r>
        <w:rPr>
          <w:rFonts w:ascii="Times New Roman" w:hAnsi="Times New Roman" w:eastAsia="楷体_GB2312"/>
          <w:b/>
          <w:sz w:val="24"/>
        </w:rPr>
        <w:t>资产支持证券持有人大会</w:t>
      </w:r>
      <w:bookmarkEnd w:id="1147"/>
      <w:bookmarkEnd w:id="1148"/>
      <w:bookmarkEnd w:id="1149"/>
      <w:bookmarkEnd w:id="1150"/>
      <w:bookmarkEnd w:id="1151"/>
      <w:bookmarkEnd w:id="1152"/>
      <w:bookmarkEnd w:id="1153"/>
    </w:p>
    <w:p w14:paraId="0D57E5BC">
      <w:pPr>
        <w:spacing w:before="156" w:beforeLines="50" w:after="156" w:afterLines="50" w:line="360" w:lineRule="auto"/>
        <w:ind w:left="420"/>
        <w:outlineLvl w:val="0"/>
        <w:rPr>
          <w:rFonts w:eastAsia="楷体_GB2312"/>
          <w:b/>
          <w:bCs/>
          <w:i/>
          <w:iCs/>
          <w:color w:val="000000"/>
          <w:sz w:val="24"/>
        </w:rPr>
      </w:pPr>
      <w:r>
        <w:rPr>
          <w:rFonts w:eastAsia="楷体_GB2312"/>
          <w:b/>
          <w:bCs/>
          <w:i/>
          <w:iCs/>
          <w:color w:val="FF0000"/>
          <w:sz w:val="24"/>
        </w:rPr>
        <w:t>【注：本款“资产支持证券持有人大会”仅供参考，就召集事由、表决比例等安排可根据项目实际情况进行调整，但应符合法律规定和监管要求。】</w:t>
      </w:r>
    </w:p>
    <w:p w14:paraId="00150790">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组成</w:t>
      </w:r>
    </w:p>
    <w:p w14:paraId="41CFBD82">
      <w:pPr>
        <w:autoSpaceDE w:val="0"/>
        <w:autoSpaceDN w:val="0"/>
        <w:adjustRightInd w:val="0"/>
        <w:spacing w:before="156" w:beforeLines="50" w:after="156" w:afterLines="50" w:line="360" w:lineRule="auto"/>
        <w:ind w:left="867" w:leftChars="413"/>
        <w:rPr>
          <w:rFonts w:ascii="Times New Roman" w:hAnsi="Times New Roman" w:eastAsia="楷体_GB2312"/>
          <w:sz w:val="24"/>
        </w:rPr>
      </w:pPr>
      <w:r>
        <w:rPr>
          <w:rFonts w:ascii="Times New Roman" w:hAnsi="Times New Roman" w:eastAsia="楷体_GB2312"/>
          <w:sz w:val="24"/>
        </w:rPr>
        <w:t>各类别“资产支持证券的持有人”分别组成该类别“资产支持证券持有人大会”。通过购买“发行人”所发行的相关类别“资产支持证券”或在</w:t>
      </w:r>
      <w:r>
        <w:rPr>
          <w:rFonts w:hint="eastAsia" w:ascii="Times New Roman" w:hAnsi="Times New Roman" w:eastAsia="楷体_GB2312"/>
          <w:sz w:val="24"/>
        </w:rPr>
        <w:t>全国</w:t>
      </w:r>
      <w:r>
        <w:rPr>
          <w:rFonts w:ascii="Times New Roman" w:hAnsi="Times New Roman" w:eastAsia="楷体_GB2312"/>
          <w:sz w:val="24"/>
        </w:rPr>
        <w:t>银行间债券市场通过交易购得相应类别的“资产支持证券”的“资产支持证券持有人”，自动成为该类别“资产支持证券持有人大会”的成员。具体而言，“优先A级资产支持证券持有人”组成优先A级“资产支持证券持有人大会”；“优先B级资产支持证券持有人”组成优先B级“资产支持证券持有人大会”；“次级资产支持证券持有人”组成次级“资产支持证券持有人大会”。</w:t>
      </w:r>
    </w:p>
    <w:p w14:paraId="59A605C9">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会议召集</w:t>
      </w:r>
    </w:p>
    <w:p w14:paraId="5138C42A">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bookmarkStart w:id="1154" w:name="_Ref332308382"/>
      <w:r>
        <w:rPr>
          <w:rFonts w:ascii="Times New Roman" w:hAnsi="Times New Roman" w:eastAsia="楷体_GB2312"/>
          <w:sz w:val="24"/>
        </w:rPr>
        <w:t>“资产支持证券持有人大会”为不定期会议，各类别“资产支持证券持有人大会”共同参会，分类表决。“资产支持证券持有人大会”由“受托人”召集。发生下列事由之一的，“受托人”应召集“资产支持证券持有人大会”：</w:t>
      </w:r>
      <w:bookmarkEnd w:id="1154"/>
    </w:p>
    <w:p w14:paraId="09CA586D">
      <w:pPr>
        <w:numPr>
          <w:ilvl w:val="0"/>
          <w:numId w:val="39"/>
        </w:numPr>
        <w:spacing w:before="156" w:beforeLines="50" w:after="156" w:afterLines="50" w:line="360" w:lineRule="auto"/>
        <w:rPr>
          <w:rFonts w:ascii="Times New Roman" w:hAnsi="Times New Roman" w:eastAsia="楷体_GB2312"/>
          <w:sz w:val="24"/>
        </w:rPr>
      </w:pPr>
      <w:bookmarkStart w:id="1155" w:name="_Ref332310609"/>
      <w:bookmarkStart w:id="1156" w:name="_Toc111281812"/>
      <w:r>
        <w:rPr>
          <w:rFonts w:ascii="Times New Roman" w:hAnsi="Times New Roman" w:eastAsia="楷体_GB2312"/>
          <w:sz w:val="24"/>
        </w:rPr>
        <w:t>提前终止“信托”；</w:t>
      </w:r>
      <w:bookmarkEnd w:id="1155"/>
    </w:p>
    <w:p w14:paraId="32AF06EB">
      <w:pPr>
        <w:numPr>
          <w:ilvl w:val="0"/>
          <w:numId w:val="39"/>
        </w:numPr>
        <w:spacing w:before="156" w:beforeLines="50" w:after="156" w:afterLines="50" w:line="360" w:lineRule="auto"/>
        <w:rPr>
          <w:rFonts w:ascii="Times New Roman" w:hAnsi="Times New Roman" w:eastAsia="楷体_GB2312"/>
          <w:sz w:val="24"/>
        </w:rPr>
      </w:pPr>
      <w:bookmarkStart w:id="1157" w:name="_Ref332897976"/>
      <w:r>
        <w:rPr>
          <w:rFonts w:ascii="Times New Roman" w:hAnsi="Times New Roman" w:eastAsia="楷体_GB2312"/>
          <w:sz w:val="24"/>
        </w:rPr>
        <w:t>批准涉及修改“资产支持证券持有人”权利或“资产支持证券”基本特征的提案，而无论该“资产支持证券持有人”的权利或“资产支持证券”</w:t>
      </w:r>
      <w:r>
        <w:rPr>
          <w:rFonts w:hint="eastAsia" w:ascii="Times New Roman" w:hAnsi="Times New Roman" w:eastAsia="楷体_GB2312"/>
          <w:sz w:val="24"/>
        </w:rPr>
        <w:t>基本</w:t>
      </w:r>
      <w:r>
        <w:rPr>
          <w:rFonts w:ascii="Times New Roman" w:hAnsi="Times New Roman" w:eastAsia="楷体_GB2312"/>
          <w:sz w:val="24"/>
        </w:rPr>
        <w:t>特征是否基于“交易文件”或其他文件，具体包括但不限于：改变本合同第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_Ref201563930 \r \h  \* MERGEFORMAT </w:instrText>
      </w:r>
      <w:r>
        <w:rPr>
          <w:rFonts w:ascii="Times New Roman" w:hAnsi="Times New Roman" w:eastAsia="楷体_GB2312"/>
          <w:sz w:val="24"/>
        </w:rPr>
        <w:fldChar w:fldCharType="separate"/>
      </w:r>
      <w:r>
        <w:rPr>
          <w:rFonts w:ascii="Times New Roman" w:hAnsi="Times New Roman" w:eastAsia="楷体_GB2312"/>
          <w:sz w:val="24"/>
        </w:rPr>
        <w:t>11</w:t>
      </w:r>
      <w:r>
        <w:rPr>
          <w:rFonts w:ascii="Times New Roman" w:hAnsi="Times New Roman" w:eastAsia="楷体_GB2312"/>
          <w:sz w:val="24"/>
        </w:rPr>
        <w:fldChar w:fldCharType="end"/>
      </w:r>
      <w:r>
        <w:rPr>
          <w:rFonts w:ascii="Times New Roman" w:hAnsi="Times New Roman" w:eastAsia="楷体_GB2312"/>
          <w:sz w:val="24"/>
        </w:rPr>
        <w:t>条约定的“回收款”分配顺序、减少或取消“资产支持证券”的本金金额或利率、改变对“资产支持证券”的支付币种、修改对某一项“全体同意事项”或“特别决议事项”获得通过所需的票数等；</w:t>
      </w:r>
      <w:bookmarkEnd w:id="1156"/>
      <w:bookmarkEnd w:id="1157"/>
    </w:p>
    <w:p w14:paraId="7FA93D7C">
      <w:pPr>
        <w:numPr>
          <w:ilvl w:val="0"/>
          <w:numId w:val="39"/>
        </w:numPr>
        <w:spacing w:before="156" w:beforeLines="50" w:after="156" w:afterLines="50" w:line="360" w:lineRule="auto"/>
        <w:rPr>
          <w:rFonts w:ascii="Times New Roman" w:hAnsi="Times New Roman" w:eastAsia="楷体_GB2312"/>
          <w:sz w:val="24"/>
        </w:rPr>
      </w:pPr>
      <w:bookmarkStart w:id="1158" w:name="_Ref332897900"/>
      <w:r>
        <w:rPr>
          <w:rFonts w:ascii="Times New Roman" w:hAnsi="Times New Roman" w:eastAsia="楷体_GB2312"/>
          <w:sz w:val="24"/>
        </w:rPr>
        <w:t>“受托人”提出辞任、发生“受托人解任事件”、“贷款服务机构解任事件”或“资金保管机构解任事件”，须根据“交易文件”更换“受托人”、“贷款服务机构”或“资金保管机构”；</w:t>
      </w:r>
      <w:bookmarkEnd w:id="1158"/>
    </w:p>
    <w:p w14:paraId="1AA8AF44">
      <w:pPr>
        <w:numPr>
          <w:ilvl w:val="0"/>
          <w:numId w:val="3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决定本“信托”项下“后备贷款服务机构”委任事宜；</w:t>
      </w:r>
    </w:p>
    <w:p w14:paraId="545888DC">
      <w:pPr>
        <w:numPr>
          <w:ilvl w:val="0"/>
          <w:numId w:val="3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解除或免除“受托人”根据任何“交易文件”本应承担的任何责任和义务；</w:t>
      </w:r>
    </w:p>
    <w:p w14:paraId="638752DC">
      <w:pPr>
        <w:numPr>
          <w:ilvl w:val="0"/>
          <w:numId w:val="3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“《信托合同》”或其他“交易文件”的终止或重大修改、更正、补充，但该等修改属于微小的技术性改动或是根据适用“中国”“法律”的强制性要求而做出的除外；</w:t>
      </w:r>
    </w:p>
    <w:p w14:paraId="5982B430">
      <w:pPr>
        <w:numPr>
          <w:ilvl w:val="0"/>
          <w:numId w:val="3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发生任何“加速清偿事件”中的（h）项至（k）项，决定是否宣布“加速清偿事件”已发生；发生“违约事件”中的（d）项，决定是否宣布“违约事件”已发生；</w:t>
      </w:r>
    </w:p>
    <w:p w14:paraId="06476F5B">
      <w:pPr>
        <w:numPr>
          <w:ilvl w:val="0"/>
          <w:numId w:val="3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“违约事件”发生后，决定是否以出售、转让等方式处置全部或部分“信托财产”（但根据本合同第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_Ref336008482 \r \h  \* MERGEFORMAT </w:instrText>
      </w:r>
      <w:r>
        <w:rPr>
          <w:rFonts w:ascii="Times New Roman" w:hAnsi="Times New Roman" w:eastAsia="楷体_GB2312"/>
          <w:sz w:val="24"/>
        </w:rPr>
        <w:fldChar w:fldCharType="separate"/>
      </w:r>
      <w:r>
        <w:rPr>
          <w:rFonts w:ascii="Times New Roman" w:hAnsi="Times New Roman" w:eastAsia="楷体_GB2312"/>
          <w:sz w:val="24"/>
        </w:rPr>
        <w:t>4</w:t>
      </w:r>
      <w:r>
        <w:rPr>
          <w:rFonts w:ascii="Times New Roman" w:hAnsi="Times New Roman" w:eastAsia="楷体_GB2312"/>
          <w:sz w:val="24"/>
        </w:rPr>
        <w:fldChar w:fldCharType="end"/>
      </w:r>
      <w:r>
        <w:rPr>
          <w:rFonts w:ascii="Times New Roman" w:hAnsi="Times New Roman" w:eastAsia="楷体_GB2312"/>
          <w:sz w:val="24"/>
        </w:rPr>
        <w:t>条要求“委托人”“赎回”“不合格资产”或第</w:t>
      </w:r>
      <w:r>
        <w:rPr>
          <w:rFonts w:ascii="Times New Roman" w:hAnsi="Times New Roman" w:eastAsia="楷体_GB2312"/>
          <w:sz w:val="24"/>
        </w:rPr>
        <w:fldChar w:fldCharType="begin"/>
      </w:r>
      <w:r>
        <w:rPr>
          <w:rFonts w:ascii="Times New Roman" w:hAnsi="Times New Roman" w:eastAsia="楷体_GB2312"/>
          <w:sz w:val="24"/>
        </w:rPr>
        <w:instrText xml:space="preserve"> REF _Ref340400360 \r \h  \* MERGEFORMAT </w:instrText>
      </w:r>
      <w:r>
        <w:rPr>
          <w:rFonts w:ascii="Times New Roman" w:hAnsi="Times New Roman" w:eastAsia="楷体_GB2312"/>
          <w:sz w:val="24"/>
        </w:rPr>
        <w:fldChar w:fldCharType="separate"/>
      </w:r>
      <w:r>
        <w:rPr>
          <w:rFonts w:ascii="Times New Roman" w:hAnsi="Times New Roman" w:eastAsia="楷体_GB2312"/>
          <w:sz w:val="24"/>
        </w:rPr>
        <w:t>13</w:t>
      </w:r>
      <w:r>
        <w:rPr>
          <w:rFonts w:ascii="Times New Roman" w:hAnsi="Times New Roman" w:eastAsia="楷体_GB2312"/>
          <w:sz w:val="24"/>
        </w:rPr>
        <w:fldChar w:fldCharType="end"/>
      </w:r>
      <w:r>
        <w:rPr>
          <w:rFonts w:ascii="Times New Roman" w:hAnsi="Times New Roman" w:eastAsia="楷体_GB2312"/>
          <w:sz w:val="24"/>
        </w:rPr>
        <w:t>条接受“委托人”“清仓回购”以及根据本合同第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_Ref201647271 \r \h  \* MERGEFORMAT </w:instrText>
      </w:r>
      <w:r>
        <w:rPr>
          <w:rFonts w:ascii="Times New Roman" w:hAnsi="Times New Roman" w:eastAsia="楷体_GB2312"/>
          <w:sz w:val="24"/>
        </w:rPr>
        <w:fldChar w:fldCharType="separate"/>
      </w:r>
      <w:r>
        <w:rPr>
          <w:rFonts w:ascii="Times New Roman" w:hAnsi="Times New Roman" w:eastAsia="楷体_GB2312"/>
          <w:sz w:val="24"/>
        </w:rPr>
        <w:t>14.2</w:t>
      </w:r>
      <w:r>
        <w:rPr>
          <w:rFonts w:ascii="Times New Roman" w:hAnsi="Times New Roman" w:eastAsia="楷体_GB2312"/>
          <w:sz w:val="24"/>
        </w:rPr>
        <w:fldChar w:fldCharType="end"/>
      </w:r>
      <w:r>
        <w:rPr>
          <w:rFonts w:ascii="Times New Roman" w:hAnsi="Times New Roman" w:eastAsia="楷体_GB2312"/>
          <w:sz w:val="24"/>
        </w:rPr>
        <w:t>款清算“信托财产”的除外），决定是否宣布“资产支持证券”立即到期并应支付本息；</w:t>
      </w:r>
    </w:p>
    <w:p w14:paraId="7D87A855">
      <w:pPr>
        <w:numPr>
          <w:ilvl w:val="0"/>
          <w:numId w:val="39"/>
        </w:numPr>
        <w:spacing w:before="156" w:beforeLines="50" w:after="156" w:afterLines="50" w:line="360" w:lineRule="auto"/>
        <w:rPr>
          <w:rFonts w:ascii="Times New Roman" w:hAnsi="Times New Roman" w:eastAsia="楷体_GB2312"/>
          <w:sz w:val="24"/>
        </w:rPr>
      </w:pPr>
      <w:bookmarkStart w:id="1159" w:name="_Ref332310614"/>
      <w:r>
        <w:rPr>
          <w:rFonts w:ascii="Times New Roman" w:hAnsi="Times New Roman" w:eastAsia="楷体_GB2312"/>
          <w:sz w:val="24"/>
        </w:rPr>
        <w:t>批准“信托”清算时“信托财产”的清算方案；</w:t>
      </w:r>
      <w:bookmarkEnd w:id="1159"/>
    </w:p>
    <w:p w14:paraId="5851C082">
      <w:pPr>
        <w:numPr>
          <w:ilvl w:val="0"/>
          <w:numId w:val="3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提高“受托人”服务报酬或“贷款服务机构”服务报酬；</w:t>
      </w:r>
    </w:p>
    <w:p w14:paraId="53533057">
      <w:pPr>
        <w:numPr>
          <w:ilvl w:val="0"/>
          <w:numId w:val="3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授权“受托人”签署并做出全部必要文件、行动或事项，以便执行“资产支持证券持有人大会”所形成的决议；</w:t>
      </w:r>
    </w:p>
    <w:p w14:paraId="39724FC6">
      <w:pPr>
        <w:numPr>
          <w:ilvl w:val="0"/>
          <w:numId w:val="3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选任代表（无论其是否为“资产支持证券持有人”），授权该代表执行“资产支持证券持有人大会”所形成的决议；</w:t>
      </w:r>
    </w:p>
    <w:p w14:paraId="716B346C">
      <w:pPr>
        <w:numPr>
          <w:ilvl w:val="0"/>
          <w:numId w:val="3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监督并审议“受托人”和各中介机构对“信托财产”的管理和收支情况，并有权要求“受托人”和各中介机构对相关情况</w:t>
      </w:r>
      <w:r>
        <w:rPr>
          <w:rFonts w:hint="eastAsia" w:ascii="Times New Roman" w:hAnsi="Times New Roman" w:eastAsia="楷体_GB2312"/>
          <w:sz w:val="24"/>
        </w:rPr>
        <w:t>作出</w:t>
      </w:r>
      <w:r>
        <w:rPr>
          <w:rFonts w:ascii="Times New Roman" w:hAnsi="Times New Roman" w:eastAsia="楷体_GB2312"/>
          <w:sz w:val="24"/>
        </w:rPr>
        <w:t>说明；</w:t>
      </w:r>
    </w:p>
    <w:p w14:paraId="38C6F6BD">
      <w:pPr>
        <w:numPr>
          <w:ilvl w:val="0"/>
          <w:numId w:val="39"/>
        </w:numPr>
        <w:spacing w:before="156" w:beforeLines="50" w:after="156" w:afterLines="50" w:line="360" w:lineRule="auto"/>
        <w:rPr>
          <w:rFonts w:ascii="Times New Roman" w:hAnsi="Times New Roman" w:eastAsia="楷体_GB2312"/>
          <w:sz w:val="24"/>
        </w:rPr>
      </w:pPr>
      <w:bookmarkStart w:id="1160" w:name="_Ref425514115"/>
      <w:r>
        <w:rPr>
          <w:rFonts w:ascii="Times New Roman" w:hAnsi="Times New Roman" w:eastAsia="楷体_GB2312"/>
          <w:sz w:val="24"/>
        </w:rPr>
        <w:t>决定任一事件是否构成“重大不利影响”；</w:t>
      </w:r>
      <w:bookmarkEnd w:id="1160"/>
    </w:p>
    <w:p w14:paraId="43F492E4">
      <w:pPr>
        <w:numPr>
          <w:ilvl w:val="0"/>
          <w:numId w:val="3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其他根据“交易文件”的约定需由“资产支持</w:t>
      </w:r>
      <w:r>
        <w:rPr>
          <w:rFonts w:hint="eastAsia" w:ascii="Times New Roman" w:hAnsi="Times New Roman" w:eastAsia="楷体_GB2312"/>
          <w:sz w:val="24"/>
        </w:rPr>
        <w:t>证券</w:t>
      </w:r>
      <w:r>
        <w:rPr>
          <w:rFonts w:ascii="Times New Roman" w:hAnsi="Times New Roman" w:eastAsia="楷体_GB2312"/>
          <w:sz w:val="24"/>
        </w:rPr>
        <w:t>持有人大会”决议的事项。</w:t>
      </w:r>
    </w:p>
    <w:p w14:paraId="18B413B1">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就每一类别的“资产支持证券持有人”组成的“资产支持证券持有人大会”而言，单独或合计持有本类别“资产支持证券”“未偿本金余额”10%或以上的“资产支持证券持有人”，为“资产支持证券持有人”的共同利益事项，可以请求“受托人”召集“资产支持证券持有人大会”。提议“受托人”召集大会的“资产支持证券持有人”应提交书面召集大会申请，该申请应载明提议事项及理由。</w:t>
      </w:r>
    </w:p>
    <w:p w14:paraId="4F641F21">
      <w:pPr>
        <w:tabs>
          <w:tab w:val="left" w:pos="900"/>
        </w:tabs>
        <w:spacing w:before="156" w:beforeLines="50" w:after="156" w:afterLines="50" w:line="360" w:lineRule="auto"/>
        <w:ind w:left="1620"/>
        <w:rPr>
          <w:rFonts w:ascii="Times New Roman" w:hAnsi="Times New Roman" w:eastAsia="楷体_GB2312"/>
          <w:b/>
          <w:bCs/>
          <w:i/>
          <w:iCs/>
          <w:color w:val="FF0000"/>
          <w:sz w:val="24"/>
        </w:rPr>
      </w:pPr>
      <w:r>
        <w:rPr>
          <w:rFonts w:hint="eastAsia" w:ascii="Times New Roman" w:hAnsi="Times New Roman" w:eastAsia="楷体_GB2312"/>
          <w:b/>
          <w:bCs/>
          <w:i/>
          <w:iCs/>
          <w:color w:val="FF0000"/>
          <w:sz w:val="24"/>
        </w:rPr>
        <w:t>【注：在</w:t>
      </w:r>
      <w:r>
        <w:rPr>
          <w:rFonts w:ascii="Times New Roman" w:hAnsi="Times New Roman" w:eastAsia="楷体_GB2312"/>
          <w:b/>
          <w:bCs/>
          <w:i/>
          <w:iCs/>
          <w:color w:val="FF0000"/>
          <w:sz w:val="24"/>
        </w:rPr>
        <w:t>“</w:t>
      </w:r>
      <w:r>
        <w:rPr>
          <w:rFonts w:hint="eastAsia" w:ascii="Times New Roman" w:hAnsi="Times New Roman" w:eastAsia="楷体_GB2312"/>
          <w:b/>
          <w:bCs/>
          <w:i/>
          <w:iCs/>
          <w:color w:val="FF0000"/>
          <w:sz w:val="24"/>
        </w:rPr>
        <w:t>次级资产支持证券</w:t>
      </w:r>
      <w:r>
        <w:rPr>
          <w:rFonts w:ascii="Times New Roman" w:hAnsi="Times New Roman" w:eastAsia="楷体_GB2312"/>
          <w:b/>
          <w:bCs/>
          <w:i/>
          <w:iCs/>
          <w:color w:val="FF0000"/>
          <w:sz w:val="24"/>
        </w:rPr>
        <w:t>”</w:t>
      </w:r>
      <w:r>
        <w:rPr>
          <w:rFonts w:hint="eastAsia" w:ascii="Times New Roman" w:hAnsi="Times New Roman" w:eastAsia="楷体_GB2312"/>
          <w:b/>
          <w:bCs/>
          <w:i/>
          <w:iCs/>
          <w:color w:val="FF0000"/>
          <w:sz w:val="24"/>
        </w:rPr>
        <w:t>的本金全部兑付完毕后，如仍需召开</w:t>
      </w:r>
      <w:r>
        <w:rPr>
          <w:rFonts w:ascii="Times New Roman" w:hAnsi="Times New Roman" w:eastAsia="楷体_GB2312"/>
          <w:b/>
          <w:bCs/>
          <w:i/>
          <w:iCs/>
          <w:color w:val="FF0000"/>
          <w:sz w:val="24"/>
        </w:rPr>
        <w:t>“</w:t>
      </w:r>
      <w:r>
        <w:rPr>
          <w:rFonts w:hint="eastAsia" w:ascii="Times New Roman" w:hAnsi="Times New Roman" w:eastAsia="楷体_GB2312"/>
          <w:b/>
          <w:bCs/>
          <w:i/>
          <w:iCs/>
          <w:color w:val="FF0000"/>
          <w:sz w:val="24"/>
        </w:rPr>
        <w:t>资产支持证券持有人大会</w:t>
      </w:r>
      <w:r>
        <w:rPr>
          <w:rFonts w:ascii="Times New Roman" w:hAnsi="Times New Roman" w:eastAsia="楷体_GB2312"/>
          <w:b/>
          <w:bCs/>
          <w:i/>
          <w:iCs/>
          <w:color w:val="FF0000"/>
          <w:sz w:val="24"/>
        </w:rPr>
        <w:t>”</w:t>
      </w:r>
      <w:r>
        <w:rPr>
          <w:rFonts w:hint="eastAsia" w:ascii="Times New Roman" w:hAnsi="Times New Roman" w:eastAsia="楷体_GB2312"/>
          <w:b/>
          <w:bCs/>
          <w:i/>
          <w:iCs/>
          <w:color w:val="FF0000"/>
          <w:sz w:val="24"/>
        </w:rPr>
        <w:t>的，可考虑补充约定：本合同中关于</w:t>
      </w:r>
      <w:r>
        <w:rPr>
          <w:rFonts w:ascii="Times New Roman" w:hAnsi="Times New Roman" w:eastAsia="楷体_GB2312"/>
          <w:b/>
          <w:bCs/>
          <w:i/>
          <w:iCs/>
          <w:color w:val="FF0000"/>
          <w:sz w:val="24"/>
        </w:rPr>
        <w:t>“</w:t>
      </w:r>
      <w:r>
        <w:rPr>
          <w:rFonts w:hint="eastAsia" w:ascii="Times New Roman" w:hAnsi="Times New Roman" w:eastAsia="楷体_GB2312"/>
          <w:b/>
          <w:bCs/>
          <w:i/>
          <w:iCs/>
          <w:color w:val="FF0000"/>
          <w:sz w:val="24"/>
        </w:rPr>
        <w:t>资产支持证券持有人</w:t>
      </w:r>
      <w:r>
        <w:rPr>
          <w:rFonts w:ascii="Times New Roman" w:hAnsi="Times New Roman" w:eastAsia="楷体_GB2312"/>
          <w:b/>
          <w:bCs/>
          <w:i/>
          <w:iCs/>
          <w:color w:val="FF0000"/>
          <w:sz w:val="24"/>
        </w:rPr>
        <w:t>”</w:t>
      </w:r>
      <w:r>
        <w:rPr>
          <w:rFonts w:hint="eastAsia" w:ascii="Times New Roman" w:hAnsi="Times New Roman" w:eastAsia="楷体_GB2312"/>
          <w:b/>
          <w:bCs/>
          <w:i/>
          <w:iCs/>
          <w:color w:val="FF0000"/>
          <w:sz w:val="24"/>
        </w:rPr>
        <w:t>召集、出席、表决的比例均以届时</w:t>
      </w:r>
      <w:r>
        <w:rPr>
          <w:rFonts w:ascii="Times New Roman" w:hAnsi="Times New Roman" w:eastAsia="楷体_GB2312"/>
          <w:b/>
          <w:bCs/>
          <w:i/>
          <w:iCs/>
          <w:color w:val="FF0000"/>
          <w:sz w:val="24"/>
        </w:rPr>
        <w:t>“</w:t>
      </w:r>
      <w:r>
        <w:rPr>
          <w:rFonts w:hint="eastAsia" w:ascii="Times New Roman" w:hAnsi="Times New Roman" w:eastAsia="楷体_GB2312"/>
          <w:b/>
          <w:bCs/>
          <w:i/>
          <w:iCs/>
          <w:color w:val="FF0000"/>
          <w:sz w:val="24"/>
        </w:rPr>
        <w:t>登记托管机构</w:t>
      </w:r>
      <w:r>
        <w:rPr>
          <w:rFonts w:ascii="Times New Roman" w:hAnsi="Times New Roman" w:eastAsia="楷体_GB2312"/>
          <w:b/>
          <w:bCs/>
          <w:i/>
          <w:iCs/>
          <w:color w:val="FF0000"/>
          <w:sz w:val="24"/>
        </w:rPr>
        <w:t>”</w:t>
      </w:r>
      <w:r>
        <w:rPr>
          <w:rFonts w:hint="eastAsia" w:ascii="Times New Roman" w:hAnsi="Times New Roman" w:eastAsia="楷体_GB2312"/>
          <w:b/>
          <w:bCs/>
          <w:i/>
          <w:iCs/>
          <w:color w:val="FF0000"/>
          <w:sz w:val="24"/>
        </w:rPr>
        <w:t>记载的各</w:t>
      </w:r>
      <w:r>
        <w:rPr>
          <w:rFonts w:ascii="Times New Roman" w:hAnsi="Times New Roman" w:eastAsia="楷体_GB2312"/>
          <w:b/>
          <w:bCs/>
          <w:i/>
          <w:iCs/>
          <w:color w:val="FF0000"/>
          <w:sz w:val="24"/>
        </w:rPr>
        <w:t>“</w:t>
      </w:r>
      <w:r>
        <w:rPr>
          <w:rFonts w:hint="eastAsia" w:ascii="Times New Roman" w:hAnsi="Times New Roman" w:eastAsia="楷体_GB2312"/>
          <w:b/>
          <w:bCs/>
          <w:i/>
          <w:iCs/>
          <w:color w:val="FF0000"/>
          <w:sz w:val="24"/>
        </w:rPr>
        <w:t>次级资产支持证券持有人</w:t>
      </w:r>
      <w:r>
        <w:rPr>
          <w:rFonts w:ascii="Times New Roman" w:hAnsi="Times New Roman" w:eastAsia="楷体_GB2312"/>
          <w:b/>
          <w:bCs/>
          <w:i/>
          <w:iCs/>
          <w:color w:val="FF0000"/>
          <w:sz w:val="24"/>
        </w:rPr>
        <w:t>”</w:t>
      </w:r>
      <w:r>
        <w:rPr>
          <w:rFonts w:hint="eastAsia" w:ascii="Times New Roman" w:hAnsi="Times New Roman" w:eastAsia="楷体_GB2312"/>
          <w:b/>
          <w:bCs/>
          <w:i/>
          <w:iCs/>
          <w:color w:val="FF0000"/>
          <w:sz w:val="24"/>
        </w:rPr>
        <w:t>持有的</w:t>
      </w:r>
      <w:r>
        <w:rPr>
          <w:rFonts w:ascii="Times New Roman" w:hAnsi="Times New Roman" w:eastAsia="楷体_GB2312"/>
          <w:b/>
          <w:bCs/>
          <w:i/>
          <w:iCs/>
          <w:color w:val="FF0000"/>
          <w:sz w:val="24"/>
        </w:rPr>
        <w:t>“</w:t>
      </w:r>
      <w:r>
        <w:rPr>
          <w:rFonts w:hint="eastAsia" w:ascii="Times New Roman" w:hAnsi="Times New Roman" w:eastAsia="楷体_GB2312"/>
          <w:b/>
          <w:bCs/>
          <w:i/>
          <w:iCs/>
          <w:color w:val="FF0000"/>
          <w:sz w:val="24"/>
        </w:rPr>
        <w:t>次级资产支持证券</w:t>
      </w:r>
      <w:r>
        <w:rPr>
          <w:rFonts w:ascii="Times New Roman" w:hAnsi="Times New Roman" w:eastAsia="楷体_GB2312"/>
          <w:b/>
          <w:bCs/>
          <w:i/>
          <w:iCs/>
          <w:color w:val="FF0000"/>
          <w:sz w:val="24"/>
        </w:rPr>
        <w:t>”</w:t>
      </w:r>
      <w:r>
        <w:rPr>
          <w:rFonts w:hint="eastAsia" w:ascii="Times New Roman" w:hAnsi="Times New Roman" w:eastAsia="楷体_GB2312"/>
          <w:b/>
          <w:bCs/>
          <w:i/>
          <w:iCs/>
          <w:color w:val="FF0000"/>
          <w:sz w:val="24"/>
        </w:rPr>
        <w:t>的份额为基准进行计算，不再以</w:t>
      </w:r>
      <w:r>
        <w:rPr>
          <w:rFonts w:ascii="Times New Roman" w:hAnsi="Times New Roman" w:eastAsia="楷体_GB2312"/>
          <w:b/>
          <w:bCs/>
          <w:i/>
          <w:iCs/>
          <w:color w:val="FF0000"/>
          <w:sz w:val="24"/>
        </w:rPr>
        <w:t>“</w:t>
      </w:r>
      <w:r>
        <w:rPr>
          <w:rFonts w:hint="eastAsia" w:ascii="Times New Roman" w:hAnsi="Times New Roman" w:eastAsia="楷体_GB2312"/>
          <w:b/>
          <w:bCs/>
          <w:i/>
          <w:iCs/>
          <w:color w:val="FF0000"/>
          <w:sz w:val="24"/>
        </w:rPr>
        <w:t>资产支持证券</w:t>
      </w:r>
      <w:r>
        <w:rPr>
          <w:rFonts w:ascii="Times New Roman" w:hAnsi="Times New Roman" w:eastAsia="楷体_GB2312"/>
          <w:b/>
          <w:bCs/>
          <w:i/>
          <w:iCs/>
          <w:color w:val="FF0000"/>
          <w:sz w:val="24"/>
        </w:rPr>
        <w:t>”</w:t>
      </w:r>
      <w:r>
        <w:rPr>
          <w:rFonts w:hint="eastAsia" w:ascii="Times New Roman" w:hAnsi="Times New Roman" w:eastAsia="楷体_GB2312"/>
          <w:b/>
          <w:bCs/>
          <w:i/>
          <w:iCs/>
          <w:color w:val="FF0000"/>
          <w:sz w:val="24"/>
        </w:rPr>
        <w:t>的</w:t>
      </w:r>
      <w:r>
        <w:rPr>
          <w:rFonts w:ascii="Times New Roman" w:hAnsi="Times New Roman" w:eastAsia="楷体_GB2312"/>
          <w:b/>
          <w:bCs/>
          <w:i/>
          <w:iCs/>
          <w:color w:val="FF0000"/>
          <w:sz w:val="24"/>
        </w:rPr>
        <w:t>“</w:t>
      </w:r>
      <w:r>
        <w:rPr>
          <w:rFonts w:hint="eastAsia" w:ascii="Times New Roman" w:hAnsi="Times New Roman" w:eastAsia="楷体_GB2312"/>
          <w:b/>
          <w:bCs/>
          <w:i/>
          <w:iCs/>
          <w:color w:val="FF0000"/>
          <w:sz w:val="24"/>
        </w:rPr>
        <w:t>未偿本金余额</w:t>
      </w:r>
      <w:r>
        <w:rPr>
          <w:rFonts w:ascii="Times New Roman" w:hAnsi="Times New Roman" w:eastAsia="楷体_GB2312"/>
          <w:b/>
          <w:bCs/>
          <w:i/>
          <w:iCs/>
          <w:color w:val="FF0000"/>
          <w:sz w:val="24"/>
        </w:rPr>
        <w:t>”</w:t>
      </w:r>
      <w:r>
        <w:rPr>
          <w:rFonts w:hint="eastAsia" w:ascii="Times New Roman" w:hAnsi="Times New Roman" w:eastAsia="楷体_GB2312"/>
          <w:b/>
          <w:bCs/>
          <w:i/>
          <w:iCs/>
          <w:color w:val="FF0000"/>
          <w:sz w:val="24"/>
        </w:rPr>
        <w:t>为基准进行计算。】</w:t>
      </w:r>
    </w:p>
    <w:p w14:paraId="4F0B06CF">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“资产支持证券持有人”依本合同的约定申请召集“资产支持证券持有人大会”，“受托人”拒绝或因</w:t>
      </w:r>
      <w:r>
        <w:rPr>
          <w:rFonts w:hint="eastAsia" w:ascii="Times New Roman" w:hAnsi="Times New Roman" w:eastAsia="楷体_GB2312"/>
          <w:sz w:val="24"/>
        </w:rPr>
        <w:t>其他</w:t>
      </w:r>
      <w:r>
        <w:rPr>
          <w:rFonts w:ascii="Times New Roman" w:hAnsi="Times New Roman" w:eastAsia="楷体_GB2312"/>
          <w:sz w:val="24"/>
        </w:rPr>
        <w:t>理由不能召集时，应于书面申请提出后</w:t>
      </w:r>
      <w:r>
        <w:rPr>
          <w:rFonts w:ascii="Times New Roman" w:hAnsi="Times New Roman" w:eastAsia="楷体_GB2312"/>
          <w:b/>
          <w:sz w:val="24"/>
        </w:rPr>
        <w:t>【】</w:t>
      </w:r>
      <w:r>
        <w:rPr>
          <w:rFonts w:ascii="Times New Roman" w:hAnsi="Times New Roman" w:eastAsia="楷体_GB2312"/>
          <w:sz w:val="24"/>
        </w:rPr>
        <w:t>个“工作日”内以书面形式通知该“资产支持证券持有人”。</w:t>
      </w:r>
    </w:p>
    <w:p w14:paraId="75111A86">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“资产支持证券持有人”依本合同的约定提出书面申请后</w:t>
      </w:r>
      <w:r>
        <w:rPr>
          <w:rFonts w:ascii="Times New Roman" w:hAnsi="Times New Roman" w:eastAsia="楷体_GB2312"/>
          <w:b/>
          <w:sz w:val="24"/>
        </w:rPr>
        <w:t>【】</w:t>
      </w:r>
      <w:r>
        <w:rPr>
          <w:rFonts w:ascii="Times New Roman" w:hAnsi="Times New Roman" w:eastAsia="楷体_GB2312"/>
          <w:sz w:val="24"/>
        </w:rPr>
        <w:t>个“工作日”内，“受托人”未召集或因</w:t>
      </w:r>
      <w:r>
        <w:rPr>
          <w:rFonts w:hint="eastAsia" w:ascii="Times New Roman" w:hAnsi="Times New Roman" w:eastAsia="楷体_GB2312"/>
          <w:sz w:val="24"/>
        </w:rPr>
        <w:t>其他</w:t>
      </w:r>
      <w:r>
        <w:rPr>
          <w:rFonts w:ascii="Times New Roman" w:hAnsi="Times New Roman" w:eastAsia="楷体_GB2312"/>
          <w:sz w:val="24"/>
        </w:rPr>
        <w:t>理由不能召集时，单独或合计持有本类别“资产支持证券”“未偿本金余额”10%或以上的“资产支持证券持有人”，可以在报“人民银行”备案后自行召集，并通知“受托人”出席。“资产支持证券持有人大会”开会时，“受托人”应出席会议，并接受“资产支持证券持有人大会”的询问。</w:t>
      </w:r>
    </w:p>
    <w:p w14:paraId="2C337307">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“受托人”提议召开或“资产支持证券持有人”自行召集“资产支持证券持有人大会”时，召集人应当至少提前</w:t>
      </w:r>
      <w:r>
        <w:rPr>
          <w:rFonts w:ascii="Times New Roman" w:hAnsi="Times New Roman" w:eastAsia="楷体_GB2312"/>
          <w:b/>
          <w:sz w:val="24"/>
        </w:rPr>
        <w:t>【】</w:t>
      </w:r>
      <w:r>
        <w:rPr>
          <w:rFonts w:hint="eastAsia" w:ascii="Times New Roman" w:hAnsi="Times New Roman" w:eastAsia="楷体_GB2312"/>
          <w:sz w:val="24"/>
        </w:rPr>
        <w:t>个</w:t>
      </w:r>
      <w:r>
        <w:rPr>
          <w:rFonts w:ascii="Times New Roman" w:hAnsi="Times New Roman" w:eastAsia="楷体_GB2312"/>
          <w:sz w:val="24"/>
        </w:rPr>
        <w:t>“工作日”</w:t>
      </w:r>
      <w:r>
        <w:rPr>
          <w:rFonts w:hint="eastAsia" w:ascii="Times New Roman" w:hAnsi="Times New Roman" w:eastAsia="楷体_GB2312"/>
          <w:color w:val="000000"/>
          <w:sz w:val="24"/>
        </w:rPr>
        <w:t>通过</w:t>
      </w:r>
      <w:r>
        <w:rPr>
          <w:rFonts w:ascii="Times New Roman" w:hAnsi="Times New Roman" w:eastAsia="楷体_GB2312"/>
          <w:color w:val="000000"/>
          <w:sz w:val="24"/>
        </w:rPr>
        <w:t>“</w:t>
      </w:r>
      <w:r>
        <w:rPr>
          <w:rFonts w:hint="eastAsia" w:ascii="Times New Roman" w:hAnsi="Times New Roman" w:eastAsia="楷体_GB2312"/>
          <w:color w:val="000000"/>
          <w:sz w:val="24"/>
        </w:rPr>
        <w:t>交易商协会</w:t>
      </w:r>
      <w:r>
        <w:rPr>
          <w:rFonts w:ascii="Times New Roman" w:hAnsi="Times New Roman" w:eastAsia="楷体_GB2312"/>
          <w:color w:val="000000"/>
          <w:sz w:val="24"/>
        </w:rPr>
        <w:t>”</w:t>
      </w:r>
      <w:r>
        <w:rPr>
          <w:rFonts w:hint="eastAsia" w:ascii="Times New Roman" w:hAnsi="Times New Roman" w:eastAsia="楷体_GB2312"/>
          <w:color w:val="000000"/>
          <w:sz w:val="24"/>
        </w:rPr>
        <w:t>综合业务和信息服务平台、中国货币网、中国债券信息网、</w:t>
      </w:r>
      <w:r>
        <w:rPr>
          <w:rFonts w:ascii="Times New Roman" w:hAnsi="Times New Roman" w:eastAsia="楷体_GB2312"/>
          <w:color w:val="000000"/>
          <w:sz w:val="24"/>
        </w:rPr>
        <w:t>“</w:t>
      </w:r>
      <w:r>
        <w:rPr>
          <w:rFonts w:hint="eastAsia" w:ascii="Times New Roman" w:hAnsi="Times New Roman" w:eastAsia="楷体_GB2312"/>
          <w:color w:val="000000"/>
          <w:sz w:val="24"/>
        </w:rPr>
        <w:t>北金所</w:t>
      </w:r>
      <w:r>
        <w:rPr>
          <w:rFonts w:ascii="Times New Roman" w:hAnsi="Times New Roman" w:eastAsia="楷体_GB2312"/>
          <w:color w:val="000000"/>
          <w:sz w:val="24"/>
        </w:rPr>
        <w:t>”</w:t>
      </w:r>
      <w:r>
        <w:rPr>
          <w:rFonts w:hint="eastAsia" w:ascii="Times New Roman" w:hAnsi="Times New Roman" w:eastAsia="楷体_GB2312"/>
          <w:color w:val="000000"/>
          <w:sz w:val="24"/>
        </w:rPr>
        <w:t>官方网站及</w:t>
      </w:r>
      <w:r>
        <w:rPr>
          <w:rFonts w:ascii="Times New Roman" w:hAnsi="Times New Roman" w:eastAsia="楷体_GB2312"/>
          <w:color w:val="000000"/>
          <w:sz w:val="24"/>
        </w:rPr>
        <w:t>“</w:t>
      </w:r>
      <w:r>
        <w:rPr>
          <w:rFonts w:hint="eastAsia" w:ascii="Times New Roman" w:hAnsi="Times New Roman" w:eastAsia="楷体_GB2312"/>
          <w:color w:val="000000"/>
          <w:sz w:val="24"/>
        </w:rPr>
        <w:t>交易商协会</w:t>
      </w:r>
      <w:r>
        <w:rPr>
          <w:rFonts w:ascii="Times New Roman" w:hAnsi="Times New Roman" w:eastAsia="楷体_GB2312"/>
          <w:color w:val="000000"/>
          <w:sz w:val="24"/>
        </w:rPr>
        <w:t>”</w:t>
      </w:r>
      <w:r>
        <w:rPr>
          <w:rFonts w:hint="eastAsia" w:ascii="Times New Roman" w:hAnsi="Times New Roman" w:eastAsia="楷体_GB2312"/>
          <w:color w:val="000000"/>
          <w:sz w:val="24"/>
        </w:rPr>
        <w:t>认可的其他方式</w:t>
      </w:r>
      <w:r>
        <w:rPr>
          <w:rFonts w:ascii="Times New Roman" w:hAnsi="Times New Roman" w:eastAsia="楷体_GB2312"/>
          <w:sz w:val="24"/>
        </w:rPr>
        <w:t>公告“资产支持证券持有人大会”的召开时间、地点、会议方式、审议事项、议事程序和表决方式等事项，以通知全体“资产支持证券持有人”相关会议事宜。任何类别的“资产支持证券持有人大会”均不得对未经公告的审议事项作出决议。</w:t>
      </w:r>
    </w:p>
    <w:p w14:paraId="4CD0A032">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表决权</w:t>
      </w:r>
    </w:p>
    <w:p w14:paraId="7A9E7108">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出席会议的“资产支持证券持有人”，就其持有的“资产支持证券”每100元人民币面值，拥有一票表决权；不足100元人民币面值的，不享有表决权。</w:t>
      </w:r>
    </w:p>
    <w:p w14:paraId="2B633C10">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“资产支持证券持有人大会”召开之日前第</w:t>
      </w:r>
      <w:r>
        <w:rPr>
          <w:rFonts w:ascii="Times New Roman" w:hAnsi="Times New Roman" w:eastAsia="楷体_GB2312"/>
          <w:b/>
          <w:sz w:val="24"/>
        </w:rPr>
        <w:t>【】</w:t>
      </w:r>
      <w:r>
        <w:rPr>
          <w:rFonts w:ascii="Times New Roman" w:hAnsi="Times New Roman" w:eastAsia="楷体_GB2312"/>
          <w:sz w:val="24"/>
        </w:rPr>
        <w:t>个“工作日”为表决权登记日。表决权登记日日终时的“资产支持证券持有人”为有权出席“资产支持证券持有人大会”的“资产支持证券持有人”，并根据其持有的“资产支持证券”享有相应的表决权。表决权登记日日终时的“资产支持证券持有人”依据“登记托管机构”所记载的相关数据信息确定。</w:t>
      </w:r>
    </w:p>
    <w:p w14:paraId="19040AE8">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资产支持证券持有人”可以委托代理人出席“资产支持证券持有人大会”，代理人应向“受托人”提供“资产支持证券持有人”出具的载明授权范围的授权委托书，并在授权范围内行使表决权。每位“资产支持证券持有人”仅能出具一份授权委托书并委托一位代理人。</w:t>
      </w:r>
    </w:p>
    <w:p w14:paraId="4B2318A2">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出席“资产支持证券持有人大会”的同一“资产支持证券持有人”，就同一议案不得分割行使其表决权。法人或其他组织为“资产支持证券持有人”时，其代表人仅限于一人。</w:t>
      </w:r>
    </w:p>
    <w:p w14:paraId="1C74DB17">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会议方式</w:t>
      </w:r>
    </w:p>
    <w:p w14:paraId="4A05CBD5">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“资产支持证券持有人大会”可以采取现场或通讯方式进行，“资产支持证券持有人”可以以现场方式或通讯方式行使表决权。</w:t>
      </w:r>
    </w:p>
    <w:p w14:paraId="5B699959">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以通讯方式行使表决权的“资产支持证券持有人”，视为亲自出席“资产支持证券持有人大会”。“资产支持证券持有人”以通讯方式行使表决权的，其行使表决权的意思表示（下称“意思表示”）应于“资产支持证券持有人大会”开会</w:t>
      </w:r>
      <w:r>
        <w:rPr>
          <w:rFonts w:ascii="Times New Roman" w:hAnsi="Times New Roman" w:eastAsia="楷体_GB2312"/>
          <w:b/>
          <w:sz w:val="24"/>
        </w:rPr>
        <w:t>【】</w:t>
      </w:r>
      <w:r>
        <w:rPr>
          <w:rFonts w:ascii="Times New Roman" w:hAnsi="Times New Roman" w:eastAsia="楷体_GB2312"/>
          <w:sz w:val="24"/>
        </w:rPr>
        <w:t>个“工作日”前送达“受托人”。“资产支持证券持有人”先后送达两份以上的意思表示的，以后送达者为准，但后送达的意思表示不符合前述时间要求的除外。“资产支持证券持有人”以通讯方式行使表决权后，打算亲自出席“资产支持证券持有人大会”的，至迟应于“资产支持证券持有人大会”开会前</w:t>
      </w:r>
      <w:r>
        <w:rPr>
          <w:rFonts w:ascii="Times New Roman" w:hAnsi="Times New Roman" w:eastAsia="楷体_GB2312"/>
          <w:b/>
          <w:sz w:val="24"/>
        </w:rPr>
        <w:t>【】</w:t>
      </w:r>
      <w:r>
        <w:rPr>
          <w:rFonts w:ascii="Times New Roman" w:hAnsi="Times New Roman" w:eastAsia="楷体_GB2312"/>
          <w:sz w:val="24"/>
        </w:rPr>
        <w:t>个“工作日”，以与行使表决权相同之方式撤销前项行使表决权之意思表示；逾期撤销者，以通讯方式行使之表决权为准。</w:t>
      </w:r>
    </w:p>
    <w:p w14:paraId="7D2CC58B">
      <w:pPr>
        <w:numPr>
          <w:ilvl w:val="1"/>
          <w:numId w:val="6"/>
        </w:numPr>
        <w:spacing w:before="156" w:beforeLines="50" w:after="156" w:afterLines="50" w:line="360" w:lineRule="auto"/>
        <w:outlineLvl w:val="1"/>
        <w:rPr>
          <w:rFonts w:ascii="Times New Roman" w:hAnsi="Times New Roman" w:eastAsia="楷体_GB2312"/>
          <w:b/>
          <w:sz w:val="24"/>
        </w:rPr>
      </w:pPr>
      <w:bookmarkStart w:id="1161" w:name="_Ref203884659"/>
      <w:r>
        <w:rPr>
          <w:rFonts w:ascii="Times New Roman" w:hAnsi="Times New Roman" w:eastAsia="楷体_GB2312"/>
          <w:b/>
          <w:sz w:val="24"/>
        </w:rPr>
        <w:t>全体同意事项</w:t>
      </w:r>
    </w:p>
    <w:p w14:paraId="39A35A03">
      <w:pPr>
        <w:tabs>
          <w:tab w:val="left" w:pos="1800"/>
          <w:tab w:val="left" w:pos="1980"/>
        </w:tabs>
        <w:spacing w:before="156" w:beforeLines="50" w:after="156" w:afterLines="50" w:line="360" w:lineRule="auto"/>
        <w:ind w:left="991"/>
        <w:rPr>
          <w:rFonts w:ascii="Times New Roman" w:hAnsi="Times New Roman" w:eastAsia="楷体_GB2312"/>
          <w:sz w:val="24"/>
        </w:rPr>
      </w:pPr>
      <w:r>
        <w:rPr>
          <w:rFonts w:ascii="Times New Roman" w:hAnsi="Times New Roman" w:eastAsia="楷体_GB2312"/>
          <w:sz w:val="24"/>
        </w:rPr>
        <w:t>每一类别的“资产支持证券持有人”组成的“资产支持证券持有人大会”就本合同第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_Ref332308382 \r \h  \* MERGEFORMAT </w:instrText>
      </w:r>
      <w:r>
        <w:rPr>
          <w:rFonts w:ascii="Times New Roman" w:hAnsi="Times New Roman" w:eastAsia="楷体_GB2312"/>
          <w:sz w:val="24"/>
        </w:rPr>
        <w:fldChar w:fldCharType="separate"/>
      </w:r>
      <w:r>
        <w:rPr>
          <w:rFonts w:ascii="Times New Roman" w:hAnsi="Times New Roman" w:eastAsia="楷体_GB2312"/>
          <w:sz w:val="24"/>
        </w:rPr>
        <w:t>19.2.1</w:t>
      </w:r>
      <w:r>
        <w:rPr>
          <w:rFonts w:ascii="Times New Roman" w:hAnsi="Times New Roman" w:eastAsia="楷体_GB2312"/>
          <w:sz w:val="24"/>
        </w:rPr>
        <w:fldChar w:fldCharType="end"/>
      </w:r>
      <w:r>
        <w:rPr>
          <w:rFonts w:ascii="Times New Roman" w:hAnsi="Times New Roman" w:eastAsia="楷体_GB2312"/>
          <w:sz w:val="24"/>
        </w:rPr>
        <w:t>款第</w:t>
      </w:r>
      <w:r>
        <w:rPr>
          <w:rFonts w:ascii="Times New Roman" w:hAnsi="Times New Roman" w:eastAsia="楷体_GB2312"/>
          <w:sz w:val="24"/>
        </w:rPr>
        <w:fldChar w:fldCharType="begin"/>
      </w:r>
      <w:r>
        <w:rPr>
          <w:rFonts w:ascii="Times New Roman" w:hAnsi="Times New Roman" w:eastAsia="楷体_GB2312"/>
          <w:sz w:val="24"/>
        </w:rPr>
        <w:instrText xml:space="preserve"> REF _Ref332310609 \r \h  \* MERGEFORMAT </w:instrText>
      </w:r>
      <w:r>
        <w:rPr>
          <w:rFonts w:ascii="Times New Roman" w:hAnsi="Times New Roman" w:eastAsia="楷体_GB2312"/>
          <w:sz w:val="24"/>
        </w:rPr>
        <w:fldChar w:fldCharType="separate"/>
      </w:r>
      <w:r>
        <w:rPr>
          <w:rFonts w:ascii="Times New Roman" w:hAnsi="Times New Roman" w:eastAsia="楷体_GB2312"/>
          <w:sz w:val="24"/>
        </w:rPr>
        <w:t>(1)</w:t>
      </w:r>
      <w:r>
        <w:rPr>
          <w:rFonts w:ascii="Times New Roman" w:hAnsi="Times New Roman" w:eastAsia="楷体_GB2312"/>
          <w:sz w:val="24"/>
        </w:rPr>
        <w:fldChar w:fldCharType="end"/>
      </w:r>
      <w:r>
        <w:rPr>
          <w:rFonts w:ascii="Times New Roman" w:hAnsi="Times New Roman" w:eastAsia="楷体_GB2312"/>
          <w:sz w:val="24"/>
        </w:rPr>
        <w:t>项至第</w:t>
      </w:r>
      <w:r>
        <w:rPr>
          <w:rFonts w:ascii="Times New Roman" w:hAnsi="Times New Roman" w:eastAsia="楷体_GB2312"/>
          <w:sz w:val="24"/>
        </w:rPr>
        <w:fldChar w:fldCharType="begin"/>
      </w:r>
      <w:r>
        <w:rPr>
          <w:rFonts w:ascii="Times New Roman" w:hAnsi="Times New Roman" w:eastAsia="楷体_GB2312"/>
          <w:sz w:val="24"/>
        </w:rPr>
        <w:instrText xml:space="preserve"> REF _Ref332897976 \r \h  \* MERGEFORMAT </w:instrText>
      </w:r>
      <w:r>
        <w:rPr>
          <w:rFonts w:ascii="Times New Roman" w:hAnsi="Times New Roman" w:eastAsia="楷体_GB2312"/>
          <w:sz w:val="24"/>
        </w:rPr>
        <w:fldChar w:fldCharType="separate"/>
      </w:r>
      <w:r>
        <w:rPr>
          <w:rFonts w:ascii="Times New Roman" w:hAnsi="Times New Roman" w:eastAsia="楷体_GB2312"/>
          <w:sz w:val="24"/>
        </w:rPr>
        <w:t>(2)</w:t>
      </w:r>
      <w:r>
        <w:rPr>
          <w:rFonts w:ascii="Times New Roman" w:hAnsi="Times New Roman" w:eastAsia="楷体_GB2312"/>
          <w:sz w:val="24"/>
        </w:rPr>
        <w:fldChar w:fldCharType="end"/>
      </w:r>
      <w:r>
        <w:rPr>
          <w:rFonts w:ascii="Times New Roman" w:hAnsi="Times New Roman" w:eastAsia="楷体_GB2312"/>
          <w:sz w:val="24"/>
        </w:rPr>
        <w:t>项以及第</w:t>
      </w:r>
      <w:r>
        <w:rPr>
          <w:rFonts w:ascii="Times New Roman" w:hAnsi="Times New Roman" w:eastAsia="楷体_GB2312"/>
          <w:sz w:val="24"/>
        </w:rPr>
        <w:fldChar w:fldCharType="begin"/>
      </w:r>
      <w:r>
        <w:rPr>
          <w:rFonts w:ascii="Times New Roman" w:hAnsi="Times New Roman" w:eastAsia="楷体_GB2312"/>
          <w:sz w:val="24"/>
        </w:rPr>
        <w:instrText xml:space="preserve"> REF _Ref425514115 \r \h  \* MERGEFORMAT </w:instrText>
      </w:r>
      <w:r>
        <w:rPr>
          <w:rFonts w:ascii="Times New Roman" w:hAnsi="Times New Roman" w:eastAsia="楷体_GB2312"/>
          <w:sz w:val="24"/>
        </w:rPr>
        <w:fldChar w:fldCharType="separate"/>
      </w:r>
      <w:r>
        <w:rPr>
          <w:rFonts w:ascii="Times New Roman" w:hAnsi="Times New Roman" w:eastAsia="楷体_GB2312"/>
          <w:sz w:val="24"/>
        </w:rPr>
        <w:t>(14)</w:t>
      </w:r>
      <w:r>
        <w:rPr>
          <w:rFonts w:ascii="Times New Roman" w:hAnsi="Times New Roman" w:eastAsia="楷体_GB2312"/>
          <w:sz w:val="24"/>
        </w:rPr>
        <w:fldChar w:fldCharType="end"/>
      </w:r>
      <w:r>
        <w:rPr>
          <w:rFonts w:ascii="Times New Roman" w:hAnsi="Times New Roman" w:eastAsia="楷体_GB2312"/>
          <w:sz w:val="24"/>
        </w:rPr>
        <w:t>项（下称“全体同意事项”）所形成的决议，必须经本类别“资产支持证券”“未偿本金余额”100%的“资产支持证券持有人”出席，且经出席的本类别的全体“资产支持证券持有人”同意。</w:t>
      </w:r>
    </w:p>
    <w:p w14:paraId="4AC0E9F3">
      <w:pPr>
        <w:tabs>
          <w:tab w:val="left" w:pos="1800"/>
          <w:tab w:val="left" w:pos="1980"/>
        </w:tabs>
        <w:spacing w:before="156" w:beforeLines="50" w:after="156" w:afterLines="50" w:line="360" w:lineRule="auto"/>
        <w:ind w:left="851"/>
        <w:rPr>
          <w:rFonts w:ascii="Times New Roman" w:hAnsi="Times New Roman" w:eastAsia="楷体_GB2312"/>
          <w:b/>
          <w:bCs/>
          <w:i/>
          <w:iCs/>
          <w:color w:val="FF0000"/>
          <w:sz w:val="24"/>
        </w:rPr>
      </w:pPr>
      <w:r>
        <w:rPr>
          <w:rFonts w:ascii="Times New Roman" w:hAnsi="Times New Roman" w:eastAsia="楷体_GB2312"/>
          <w:b/>
          <w:bCs/>
          <w:i/>
          <w:iCs/>
          <w:color w:val="FF0000"/>
          <w:sz w:val="24"/>
        </w:rPr>
        <w:t>【注：全体同意事项可根据具体项目情况调整。】</w:t>
      </w:r>
    </w:p>
    <w:p w14:paraId="65DBE658">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特别决议事项</w:t>
      </w:r>
      <w:bookmarkEnd w:id="1161"/>
    </w:p>
    <w:p w14:paraId="40209A5B">
      <w:pPr>
        <w:tabs>
          <w:tab w:val="left" w:pos="1800"/>
          <w:tab w:val="left" w:pos="1980"/>
        </w:tabs>
        <w:spacing w:before="156" w:beforeLines="50" w:after="156" w:afterLines="50" w:line="360" w:lineRule="auto"/>
        <w:ind w:left="991"/>
        <w:rPr>
          <w:rFonts w:ascii="Times New Roman" w:hAnsi="Times New Roman" w:eastAsia="楷体_GB2312"/>
          <w:sz w:val="24"/>
        </w:rPr>
      </w:pPr>
      <w:r>
        <w:rPr>
          <w:rFonts w:ascii="Times New Roman" w:hAnsi="Times New Roman" w:eastAsia="楷体_GB2312"/>
          <w:sz w:val="24"/>
        </w:rPr>
        <w:t>每一类别的“资产支持证券持有人”组成的“资产支持证券持有人大会”就本合同第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_Ref332308382 \r \h  \* MERGEFORMAT </w:instrText>
      </w:r>
      <w:r>
        <w:rPr>
          <w:rFonts w:ascii="Times New Roman" w:hAnsi="Times New Roman" w:eastAsia="楷体_GB2312"/>
          <w:sz w:val="24"/>
        </w:rPr>
        <w:fldChar w:fldCharType="separate"/>
      </w:r>
      <w:r>
        <w:rPr>
          <w:rFonts w:ascii="Times New Roman" w:hAnsi="Times New Roman" w:eastAsia="楷体_GB2312"/>
          <w:sz w:val="24"/>
        </w:rPr>
        <w:t>19.2.1</w:t>
      </w:r>
      <w:r>
        <w:rPr>
          <w:rFonts w:ascii="Times New Roman" w:hAnsi="Times New Roman" w:eastAsia="楷体_GB2312"/>
          <w:sz w:val="24"/>
        </w:rPr>
        <w:fldChar w:fldCharType="end"/>
      </w:r>
      <w:r>
        <w:rPr>
          <w:rFonts w:ascii="Times New Roman" w:hAnsi="Times New Roman" w:eastAsia="楷体_GB2312"/>
          <w:sz w:val="24"/>
        </w:rPr>
        <w:t>款第</w:t>
      </w:r>
      <w:r>
        <w:rPr>
          <w:rFonts w:ascii="Times New Roman" w:hAnsi="Times New Roman" w:eastAsia="楷体_GB2312"/>
          <w:sz w:val="24"/>
        </w:rPr>
        <w:fldChar w:fldCharType="begin"/>
      </w:r>
      <w:r>
        <w:rPr>
          <w:rFonts w:ascii="Times New Roman" w:hAnsi="Times New Roman" w:eastAsia="楷体_GB2312"/>
          <w:sz w:val="24"/>
        </w:rPr>
        <w:instrText xml:space="preserve"> REF _Ref332897900 \r \h  \* MERGEFORMAT </w:instrText>
      </w:r>
      <w:r>
        <w:rPr>
          <w:rFonts w:ascii="Times New Roman" w:hAnsi="Times New Roman" w:eastAsia="楷体_GB2312"/>
          <w:sz w:val="24"/>
        </w:rPr>
        <w:fldChar w:fldCharType="separate"/>
      </w:r>
      <w:r>
        <w:rPr>
          <w:rFonts w:ascii="Times New Roman" w:hAnsi="Times New Roman" w:eastAsia="楷体_GB2312"/>
          <w:sz w:val="24"/>
        </w:rPr>
        <w:t>(3)</w:t>
      </w:r>
      <w:r>
        <w:rPr>
          <w:rFonts w:ascii="Times New Roman" w:hAnsi="Times New Roman" w:eastAsia="楷体_GB2312"/>
          <w:sz w:val="24"/>
        </w:rPr>
        <w:fldChar w:fldCharType="end"/>
      </w:r>
      <w:r>
        <w:rPr>
          <w:rFonts w:ascii="Times New Roman" w:hAnsi="Times New Roman" w:eastAsia="楷体_GB2312"/>
          <w:sz w:val="24"/>
        </w:rPr>
        <w:t>项至第</w:t>
      </w:r>
      <w:r>
        <w:rPr>
          <w:rFonts w:ascii="Times New Roman" w:hAnsi="Times New Roman" w:eastAsia="楷体_GB2312"/>
          <w:sz w:val="24"/>
        </w:rPr>
        <w:fldChar w:fldCharType="begin"/>
      </w:r>
      <w:r>
        <w:rPr>
          <w:rFonts w:ascii="Times New Roman" w:hAnsi="Times New Roman" w:eastAsia="楷体_GB2312"/>
          <w:sz w:val="24"/>
        </w:rPr>
        <w:instrText xml:space="preserve"> REF _Ref332310614 \r \h  \* MERGEFORMAT </w:instrText>
      </w:r>
      <w:r>
        <w:rPr>
          <w:rFonts w:ascii="Times New Roman" w:hAnsi="Times New Roman" w:eastAsia="楷体_GB2312"/>
          <w:sz w:val="24"/>
        </w:rPr>
        <w:fldChar w:fldCharType="separate"/>
      </w:r>
      <w:r>
        <w:rPr>
          <w:rFonts w:ascii="Times New Roman" w:hAnsi="Times New Roman" w:eastAsia="楷体_GB2312"/>
          <w:sz w:val="24"/>
        </w:rPr>
        <w:t>(9)</w:t>
      </w:r>
      <w:r>
        <w:rPr>
          <w:rFonts w:ascii="Times New Roman" w:hAnsi="Times New Roman" w:eastAsia="楷体_GB2312"/>
          <w:sz w:val="24"/>
        </w:rPr>
        <w:fldChar w:fldCharType="end"/>
      </w:r>
      <w:r>
        <w:rPr>
          <w:rFonts w:ascii="Times New Roman" w:hAnsi="Times New Roman" w:eastAsia="楷体_GB2312"/>
          <w:sz w:val="24"/>
        </w:rPr>
        <w:t>项（下称“特别决议事项”）所形成的决议，必须经单独或合计持有本类别“资产支持证券”“未偿本金余额”75%以上的“资产支持证券持有人”出席，且经出席的本类别“资产支持证券持有人”表决权总数的75%以上的同意。</w:t>
      </w:r>
    </w:p>
    <w:p w14:paraId="3DCE6D79">
      <w:pPr>
        <w:tabs>
          <w:tab w:val="left" w:pos="1800"/>
          <w:tab w:val="left" w:pos="1980"/>
        </w:tabs>
        <w:spacing w:before="156" w:beforeLines="50" w:after="156" w:afterLines="50" w:line="360" w:lineRule="auto"/>
        <w:ind w:left="851"/>
        <w:rPr>
          <w:rFonts w:ascii="Times New Roman" w:hAnsi="Times New Roman" w:eastAsia="楷体_GB2312"/>
          <w:b/>
          <w:bCs/>
          <w:i/>
          <w:iCs/>
          <w:color w:val="FF0000"/>
          <w:sz w:val="24"/>
        </w:rPr>
      </w:pPr>
      <w:r>
        <w:rPr>
          <w:rFonts w:ascii="Times New Roman" w:hAnsi="Times New Roman" w:eastAsia="楷体_GB2312"/>
          <w:b/>
          <w:bCs/>
          <w:i/>
          <w:iCs/>
          <w:color w:val="FF0000"/>
          <w:sz w:val="24"/>
        </w:rPr>
        <w:t>【注：特别决议事项可根据具体项目情况调整。】</w:t>
      </w:r>
    </w:p>
    <w:p w14:paraId="334AA1AF">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普通决议事项</w:t>
      </w:r>
    </w:p>
    <w:p w14:paraId="51299189">
      <w:pPr>
        <w:tabs>
          <w:tab w:val="left" w:pos="1800"/>
          <w:tab w:val="left" w:pos="1980"/>
        </w:tabs>
        <w:spacing w:before="156" w:beforeLines="50" w:after="156" w:afterLines="50" w:line="360" w:lineRule="auto"/>
        <w:ind w:left="991"/>
        <w:rPr>
          <w:rFonts w:ascii="Times New Roman" w:hAnsi="Times New Roman" w:eastAsia="楷体_GB2312"/>
          <w:sz w:val="24"/>
        </w:rPr>
      </w:pPr>
      <w:r>
        <w:rPr>
          <w:rFonts w:ascii="Times New Roman" w:hAnsi="Times New Roman" w:eastAsia="楷体_GB2312"/>
          <w:sz w:val="24"/>
        </w:rPr>
        <w:t>除“全体同意事项”和“特别决议事项”以外的事项为“普通决议事项”。每一类别的“资产支持证券持有人”组成的“资产支持证券持有人大会”就“普通决议事项”所形成的决议，必须经单独或合计持有本类别“资产支持证券”“未偿本金余额”50%以上的“资产支持证券持有人”出席，且经出席的本类别“资产支持证券持有人”表决权总数的50%以上的同意。</w:t>
      </w:r>
    </w:p>
    <w:p w14:paraId="42C1223D">
      <w:pPr>
        <w:tabs>
          <w:tab w:val="left" w:pos="1800"/>
          <w:tab w:val="left" w:pos="1980"/>
        </w:tabs>
        <w:spacing w:before="156" w:beforeLines="50" w:after="156" w:afterLines="50" w:line="360" w:lineRule="auto"/>
        <w:ind w:left="851"/>
        <w:rPr>
          <w:rFonts w:ascii="Times New Roman" w:hAnsi="Times New Roman" w:eastAsia="楷体_GB2312"/>
          <w:b/>
          <w:bCs/>
          <w:i/>
          <w:iCs/>
          <w:color w:val="FF0000"/>
          <w:sz w:val="24"/>
        </w:rPr>
      </w:pPr>
      <w:r>
        <w:rPr>
          <w:rFonts w:ascii="Times New Roman" w:hAnsi="Times New Roman" w:eastAsia="楷体_GB2312"/>
          <w:b/>
          <w:bCs/>
          <w:i/>
          <w:iCs/>
          <w:color w:val="FF0000"/>
          <w:sz w:val="24"/>
        </w:rPr>
        <w:t>【注：普通决议事项可根据具体项目情况调整。】</w:t>
      </w:r>
    </w:p>
    <w:p w14:paraId="064B6677">
      <w:pPr>
        <w:numPr>
          <w:ilvl w:val="1"/>
          <w:numId w:val="6"/>
        </w:numPr>
        <w:spacing w:before="156" w:beforeLines="50" w:after="156" w:afterLines="50" w:line="360" w:lineRule="auto"/>
        <w:outlineLvl w:val="1"/>
        <w:rPr>
          <w:rFonts w:ascii="Times New Roman" w:hAnsi="Times New Roman" w:eastAsia="楷体_GB2312"/>
          <w:b/>
          <w:sz w:val="24"/>
        </w:rPr>
      </w:pPr>
      <w:bookmarkStart w:id="1162" w:name="_Ref216709995"/>
      <w:r>
        <w:rPr>
          <w:rFonts w:ascii="Times New Roman" w:hAnsi="Times New Roman" w:eastAsia="楷体_GB2312"/>
          <w:b/>
          <w:sz w:val="24"/>
        </w:rPr>
        <w:t>决议之间的冲突</w:t>
      </w:r>
      <w:bookmarkEnd w:id="1162"/>
    </w:p>
    <w:p w14:paraId="15A690B7">
      <w:pPr>
        <w:tabs>
          <w:tab w:val="left" w:pos="1800"/>
          <w:tab w:val="left" w:pos="1980"/>
        </w:tabs>
        <w:spacing w:before="156" w:beforeLines="50" w:after="156" w:afterLines="50" w:line="360" w:lineRule="auto"/>
        <w:ind w:left="991"/>
        <w:rPr>
          <w:rFonts w:ascii="Times New Roman" w:hAnsi="Times New Roman" w:eastAsia="楷体_GB2312"/>
          <w:sz w:val="24"/>
        </w:rPr>
      </w:pPr>
      <w:r>
        <w:rPr>
          <w:rFonts w:ascii="Times New Roman" w:hAnsi="Times New Roman" w:eastAsia="楷体_GB2312"/>
          <w:sz w:val="24"/>
        </w:rPr>
        <w:t>如果不同类别“资产支持证券持有人大会”就同一事项所做的决议不同，或存在冲突，除非本合同另有约定，应按照如下规则确定各类别“资产支持证券持有人大会”决议的效力：如果</w:t>
      </w:r>
      <w:r>
        <w:rPr>
          <w:rFonts w:ascii="Times New Roman" w:hAnsi="Times New Roman" w:eastAsia="楷体_GB2312"/>
          <w:bCs/>
          <w:sz w:val="24"/>
        </w:rPr>
        <w:t>“</w:t>
      </w:r>
      <w:r>
        <w:rPr>
          <w:rFonts w:ascii="Times New Roman" w:hAnsi="Times New Roman" w:eastAsia="楷体_GB2312"/>
          <w:sz w:val="24"/>
        </w:rPr>
        <w:t>优先A级资产支持证券</w:t>
      </w:r>
      <w:r>
        <w:rPr>
          <w:rFonts w:ascii="Times New Roman" w:hAnsi="Times New Roman" w:eastAsia="楷体_GB2312"/>
          <w:bCs/>
          <w:sz w:val="24"/>
        </w:rPr>
        <w:t>”</w:t>
      </w:r>
      <w:r>
        <w:rPr>
          <w:rFonts w:ascii="Times New Roman" w:hAnsi="Times New Roman" w:eastAsia="楷体_GB2312"/>
          <w:sz w:val="24"/>
        </w:rPr>
        <w:t>本息尚未清偿完毕，应以“优先A级资产支持证券持有人”组成的</w:t>
      </w:r>
      <w:r>
        <w:rPr>
          <w:rFonts w:ascii="Times New Roman" w:hAnsi="Times New Roman" w:eastAsia="楷体_GB2312"/>
          <w:bCs/>
          <w:sz w:val="24"/>
        </w:rPr>
        <w:t>“</w:t>
      </w:r>
      <w:r>
        <w:rPr>
          <w:rFonts w:ascii="Times New Roman" w:hAnsi="Times New Roman" w:eastAsia="楷体_GB2312"/>
          <w:sz w:val="24"/>
        </w:rPr>
        <w:t>资产支持证券持有人大会</w:t>
      </w:r>
      <w:r>
        <w:rPr>
          <w:rFonts w:ascii="Times New Roman" w:hAnsi="Times New Roman" w:eastAsia="楷体_GB2312"/>
          <w:bCs/>
          <w:sz w:val="24"/>
        </w:rPr>
        <w:t>”</w:t>
      </w:r>
      <w:r>
        <w:rPr>
          <w:rFonts w:ascii="Times New Roman" w:hAnsi="Times New Roman" w:eastAsia="楷体_GB2312"/>
          <w:sz w:val="24"/>
        </w:rPr>
        <w:t>的决议为准；当全部</w:t>
      </w:r>
      <w:r>
        <w:rPr>
          <w:rFonts w:ascii="Times New Roman" w:hAnsi="Times New Roman" w:eastAsia="楷体_GB2312"/>
          <w:bCs/>
          <w:sz w:val="24"/>
        </w:rPr>
        <w:t>“优先A级</w:t>
      </w:r>
      <w:r>
        <w:rPr>
          <w:rFonts w:ascii="Times New Roman" w:hAnsi="Times New Roman" w:eastAsia="楷体_GB2312"/>
          <w:sz w:val="24"/>
        </w:rPr>
        <w:t>资产支持证券</w:t>
      </w:r>
      <w:r>
        <w:rPr>
          <w:rFonts w:ascii="Times New Roman" w:hAnsi="Times New Roman" w:eastAsia="楷体_GB2312"/>
          <w:bCs/>
          <w:sz w:val="24"/>
        </w:rPr>
        <w:t>”本息</w:t>
      </w:r>
      <w:r>
        <w:rPr>
          <w:rFonts w:ascii="Times New Roman" w:hAnsi="Times New Roman" w:eastAsia="楷体_GB2312"/>
          <w:sz w:val="24"/>
        </w:rPr>
        <w:t>已清偿完毕，但</w:t>
      </w:r>
      <w:r>
        <w:rPr>
          <w:rFonts w:ascii="Times New Roman" w:hAnsi="Times New Roman" w:eastAsia="楷体_GB2312"/>
          <w:bCs/>
          <w:sz w:val="24"/>
        </w:rPr>
        <w:t>“</w:t>
      </w:r>
      <w:r>
        <w:rPr>
          <w:rFonts w:ascii="Times New Roman" w:hAnsi="Times New Roman" w:eastAsia="楷体_GB2312"/>
          <w:sz w:val="24"/>
        </w:rPr>
        <w:t>优先B级资产支持证券</w:t>
      </w:r>
      <w:r>
        <w:rPr>
          <w:rFonts w:ascii="Times New Roman" w:hAnsi="Times New Roman" w:eastAsia="楷体_GB2312"/>
          <w:bCs/>
          <w:sz w:val="24"/>
        </w:rPr>
        <w:t>”</w:t>
      </w:r>
      <w:r>
        <w:rPr>
          <w:rFonts w:ascii="Times New Roman" w:hAnsi="Times New Roman" w:eastAsia="楷体_GB2312"/>
          <w:sz w:val="24"/>
        </w:rPr>
        <w:t>本息尚未清偿完毕，应以“优先B级资产支持证券持有人”组成的</w:t>
      </w:r>
      <w:r>
        <w:rPr>
          <w:rFonts w:ascii="Times New Roman" w:hAnsi="Times New Roman" w:eastAsia="楷体_GB2312"/>
          <w:bCs/>
          <w:sz w:val="24"/>
        </w:rPr>
        <w:t>“</w:t>
      </w:r>
      <w:r>
        <w:rPr>
          <w:rFonts w:ascii="Times New Roman" w:hAnsi="Times New Roman" w:eastAsia="楷体_GB2312"/>
          <w:sz w:val="24"/>
        </w:rPr>
        <w:t>资产支持证券持有人大会</w:t>
      </w:r>
      <w:r>
        <w:rPr>
          <w:rFonts w:ascii="Times New Roman" w:hAnsi="Times New Roman" w:eastAsia="楷体_GB2312"/>
          <w:bCs/>
          <w:sz w:val="24"/>
        </w:rPr>
        <w:t>”</w:t>
      </w:r>
      <w:r>
        <w:rPr>
          <w:rFonts w:ascii="Times New Roman" w:hAnsi="Times New Roman" w:eastAsia="楷体_GB2312"/>
          <w:sz w:val="24"/>
        </w:rPr>
        <w:t>的决议为准；当全部</w:t>
      </w:r>
      <w:r>
        <w:rPr>
          <w:rFonts w:ascii="Times New Roman" w:hAnsi="Times New Roman" w:eastAsia="楷体_GB2312"/>
          <w:bCs/>
          <w:sz w:val="24"/>
        </w:rPr>
        <w:t>“优先B级</w:t>
      </w:r>
      <w:r>
        <w:rPr>
          <w:rFonts w:ascii="Times New Roman" w:hAnsi="Times New Roman" w:eastAsia="楷体_GB2312"/>
          <w:sz w:val="24"/>
        </w:rPr>
        <w:t>资产支持证券</w:t>
      </w:r>
      <w:r>
        <w:rPr>
          <w:rFonts w:ascii="Times New Roman" w:hAnsi="Times New Roman" w:eastAsia="楷体_GB2312"/>
          <w:bCs/>
          <w:sz w:val="24"/>
        </w:rPr>
        <w:t>”本息</w:t>
      </w:r>
      <w:r>
        <w:rPr>
          <w:rFonts w:ascii="Times New Roman" w:hAnsi="Times New Roman" w:eastAsia="楷体_GB2312"/>
          <w:sz w:val="24"/>
        </w:rPr>
        <w:t>已清偿完毕，应以“次级资产支持证券持有人”组成的</w:t>
      </w:r>
      <w:r>
        <w:rPr>
          <w:rFonts w:ascii="Times New Roman" w:hAnsi="Times New Roman" w:eastAsia="楷体_GB2312"/>
          <w:bCs/>
          <w:sz w:val="24"/>
        </w:rPr>
        <w:t>“</w:t>
      </w:r>
      <w:r>
        <w:rPr>
          <w:rFonts w:ascii="Times New Roman" w:hAnsi="Times New Roman" w:eastAsia="楷体_GB2312"/>
          <w:sz w:val="24"/>
        </w:rPr>
        <w:t>资产支持证券持有人大会</w:t>
      </w:r>
      <w:r>
        <w:rPr>
          <w:rFonts w:ascii="Times New Roman" w:hAnsi="Times New Roman" w:eastAsia="楷体_GB2312"/>
          <w:bCs/>
          <w:sz w:val="24"/>
        </w:rPr>
        <w:t>”</w:t>
      </w:r>
      <w:r>
        <w:rPr>
          <w:rFonts w:ascii="Times New Roman" w:hAnsi="Times New Roman" w:eastAsia="楷体_GB2312"/>
          <w:sz w:val="24"/>
        </w:rPr>
        <w:t>的决议为准。其中，如果相关类别</w:t>
      </w:r>
      <w:r>
        <w:rPr>
          <w:rFonts w:ascii="Times New Roman" w:hAnsi="Times New Roman" w:eastAsia="楷体_GB2312"/>
          <w:bCs/>
          <w:sz w:val="24"/>
        </w:rPr>
        <w:t>“</w:t>
      </w:r>
      <w:r>
        <w:rPr>
          <w:rFonts w:ascii="Times New Roman" w:hAnsi="Times New Roman" w:eastAsia="楷体_GB2312"/>
          <w:sz w:val="24"/>
        </w:rPr>
        <w:t>资产支持证券持有人大会</w:t>
      </w:r>
      <w:r>
        <w:rPr>
          <w:rFonts w:ascii="Times New Roman" w:hAnsi="Times New Roman" w:eastAsia="楷体_GB2312"/>
          <w:bCs/>
          <w:sz w:val="24"/>
        </w:rPr>
        <w:t>”</w:t>
      </w:r>
      <w:r>
        <w:rPr>
          <w:rFonts w:ascii="Times New Roman" w:hAnsi="Times New Roman" w:eastAsia="楷体_GB2312"/>
          <w:sz w:val="24"/>
        </w:rPr>
        <w:t>没有就某一事项形成决议，则视为该类别“资产支持证券持有人大会”不同意其他类别的“资产支持证券持有人大会”就该事项形成的决议。</w:t>
      </w:r>
    </w:p>
    <w:p w14:paraId="320A79C6">
      <w:pPr>
        <w:spacing w:line="360" w:lineRule="auto"/>
        <w:ind w:left="992"/>
        <w:rPr>
          <w:rFonts w:ascii="Times New Roman" w:hAnsi="Times New Roman" w:eastAsia="楷体_GB2312"/>
          <w:b/>
          <w:bCs/>
          <w:i/>
          <w:iCs/>
          <w:sz w:val="24"/>
        </w:rPr>
      </w:pPr>
      <w:r>
        <w:rPr>
          <w:rFonts w:eastAsia="楷体_GB2312"/>
          <w:b/>
          <w:i/>
          <w:iCs/>
          <w:color w:val="FF0000"/>
          <w:sz w:val="24"/>
        </w:rPr>
        <w:t>【注：此处可根据资产支持证券分层情况进一步细分。】</w:t>
      </w:r>
    </w:p>
    <w:p w14:paraId="56EE6ABC">
      <w:pPr>
        <w:numPr>
          <w:ilvl w:val="1"/>
          <w:numId w:val="6"/>
        </w:numPr>
        <w:spacing w:before="156" w:beforeLines="50" w:after="156" w:afterLines="50" w:line="360" w:lineRule="auto"/>
        <w:outlineLvl w:val="1"/>
        <w:rPr>
          <w:rFonts w:ascii="Times New Roman" w:hAnsi="Times New Roman" w:eastAsia="楷体_GB2312"/>
          <w:b/>
          <w:sz w:val="24"/>
        </w:rPr>
      </w:pPr>
      <w:bookmarkStart w:id="1163" w:name="_Ref335930290"/>
      <w:r>
        <w:rPr>
          <w:rFonts w:ascii="Times New Roman" w:hAnsi="Times New Roman" w:eastAsia="楷体_GB2312"/>
          <w:b/>
          <w:sz w:val="24"/>
        </w:rPr>
        <w:t>决议的执行</w:t>
      </w:r>
      <w:bookmarkEnd w:id="1163"/>
    </w:p>
    <w:p w14:paraId="138184EB">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“资产支持证券持有人大会”的决议，由“资产支持证券持有人大会”选任的人执行。“资产支持证券持有人大会”可以授权“受托人”执行“资产支持证券持有人大会”的决议。</w:t>
      </w:r>
    </w:p>
    <w:p w14:paraId="6AD4DDF2">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“资产支持证券持有人大会”选任的人，可以代表“资产支持证券持有人”，为全体“资产支持证券持有人”利益进行有关“信托”的诉讼或诉讼外的行为。</w:t>
      </w:r>
    </w:p>
    <w:p w14:paraId="03537E0F">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按照本合同第</w:t>
      </w:r>
      <w:r>
        <w:rPr>
          <w:rFonts w:ascii="Times New Roman" w:hAnsi="Times New Roman" w:eastAsia="楷体_GB2312"/>
          <w:sz w:val="24"/>
        </w:rPr>
        <w:fldChar w:fldCharType="begin"/>
      </w:r>
      <w:r>
        <w:rPr>
          <w:rFonts w:ascii="Times New Roman" w:hAnsi="Times New Roman" w:eastAsia="楷体_GB2312"/>
          <w:sz w:val="24"/>
        </w:rPr>
        <w:instrText xml:space="preserve"> REF _Ref335930290 \r \h  \* MERGEFORMAT </w:instrText>
      </w:r>
      <w:r>
        <w:rPr>
          <w:rFonts w:ascii="Times New Roman" w:hAnsi="Times New Roman" w:eastAsia="楷体_GB2312"/>
          <w:sz w:val="24"/>
        </w:rPr>
        <w:fldChar w:fldCharType="separate"/>
      </w:r>
      <w:r>
        <w:rPr>
          <w:rFonts w:ascii="Times New Roman" w:hAnsi="Times New Roman" w:eastAsia="楷体_GB2312"/>
          <w:sz w:val="24"/>
        </w:rPr>
        <w:t>19.9</w:t>
      </w:r>
      <w:r>
        <w:rPr>
          <w:rFonts w:ascii="Times New Roman" w:hAnsi="Times New Roman" w:eastAsia="楷体_GB2312"/>
          <w:sz w:val="24"/>
        </w:rPr>
        <w:fldChar w:fldCharType="end"/>
      </w:r>
      <w:r>
        <w:rPr>
          <w:rFonts w:ascii="Times New Roman" w:hAnsi="Times New Roman" w:eastAsia="楷体_GB2312"/>
          <w:sz w:val="24"/>
        </w:rPr>
        <w:t>款约定由“资产支持证券持有人”选任的人，其权限、报酬、报酬之计算方法及支付时期等事项，应由“资产支持证券持有人大会”于选任该等人时一并予以决议。</w:t>
      </w:r>
    </w:p>
    <w:p w14:paraId="3517C3B7">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会议记录</w:t>
      </w:r>
    </w:p>
    <w:p w14:paraId="6BBC1B26">
      <w:pPr>
        <w:tabs>
          <w:tab w:val="left" w:pos="1800"/>
          <w:tab w:val="left" w:pos="1980"/>
        </w:tabs>
        <w:spacing w:before="156" w:beforeLines="50" w:after="156" w:afterLines="50" w:line="360" w:lineRule="auto"/>
        <w:ind w:left="991"/>
        <w:rPr>
          <w:rFonts w:ascii="Times New Roman" w:hAnsi="Times New Roman" w:eastAsia="楷体_GB2312"/>
          <w:b/>
          <w:sz w:val="24"/>
        </w:rPr>
      </w:pPr>
      <w:r>
        <w:rPr>
          <w:rFonts w:ascii="Times New Roman" w:hAnsi="Times New Roman" w:eastAsia="楷体_GB2312"/>
          <w:sz w:val="24"/>
        </w:rPr>
        <w:t>“资产支持证券持有人大会”应当将决议作成会议记录，召集人、“受托人”应当在会议记录上签字并盖章。会议记录、出席“资产支持证券持有人”的签名册及代理出席的授权委托书应由“受托人”一并保存，保存期限自“信托终止日”起不得少于十五年。</w:t>
      </w:r>
    </w:p>
    <w:p w14:paraId="2A6A5F37">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决议的备案与公告</w:t>
      </w:r>
    </w:p>
    <w:p w14:paraId="4DD395B9">
      <w:pPr>
        <w:tabs>
          <w:tab w:val="left" w:pos="1800"/>
          <w:tab w:val="left" w:pos="1980"/>
        </w:tabs>
        <w:spacing w:before="156" w:beforeLines="50" w:after="156" w:afterLines="50" w:line="360" w:lineRule="auto"/>
        <w:ind w:left="991"/>
        <w:rPr>
          <w:rFonts w:ascii="Times New Roman" w:hAnsi="Times New Roman" w:eastAsia="楷体_GB2312"/>
          <w:sz w:val="24"/>
        </w:rPr>
      </w:pPr>
      <w:r>
        <w:rPr>
          <w:rFonts w:ascii="Times New Roman" w:hAnsi="Times New Roman" w:eastAsia="楷体_GB2312"/>
          <w:sz w:val="24"/>
        </w:rPr>
        <w:t>对于“资产支持证券持有人大会”形成的决议，“受托人”应在“资产支持证券持有人大会”结束后</w:t>
      </w:r>
      <w:r>
        <w:rPr>
          <w:rFonts w:ascii="Times New Roman" w:hAnsi="Times New Roman" w:eastAsia="楷体_GB2312"/>
          <w:b/>
          <w:sz w:val="24"/>
        </w:rPr>
        <w:t>【</w:t>
      </w:r>
      <w:r>
        <w:rPr>
          <w:rFonts w:hint="eastAsia" w:ascii="Times New Roman" w:hAnsi="Times New Roman" w:eastAsia="楷体_GB2312"/>
          <w:sz w:val="24"/>
        </w:rPr>
        <w:t>】个</w:t>
      </w:r>
      <w:r>
        <w:rPr>
          <w:rFonts w:ascii="Times New Roman" w:hAnsi="Times New Roman" w:eastAsia="楷体_GB2312"/>
          <w:sz w:val="24"/>
        </w:rPr>
        <w:t>“工作日”内报“人民银行”备案，并</w:t>
      </w:r>
      <w:r>
        <w:rPr>
          <w:rFonts w:hint="eastAsia" w:ascii="Times New Roman" w:hAnsi="Times New Roman" w:eastAsia="楷体_GB2312"/>
          <w:color w:val="000000"/>
          <w:sz w:val="24"/>
        </w:rPr>
        <w:t>通过</w:t>
      </w:r>
      <w:r>
        <w:rPr>
          <w:rFonts w:ascii="Times New Roman" w:hAnsi="Times New Roman" w:eastAsia="楷体_GB2312"/>
          <w:color w:val="000000"/>
          <w:sz w:val="24"/>
        </w:rPr>
        <w:t>“</w:t>
      </w:r>
      <w:r>
        <w:rPr>
          <w:rFonts w:hint="eastAsia" w:ascii="Times New Roman" w:hAnsi="Times New Roman" w:eastAsia="楷体_GB2312"/>
          <w:color w:val="000000"/>
          <w:sz w:val="24"/>
        </w:rPr>
        <w:t>交易商协会</w:t>
      </w:r>
      <w:r>
        <w:rPr>
          <w:rFonts w:ascii="Times New Roman" w:hAnsi="Times New Roman" w:eastAsia="楷体_GB2312"/>
          <w:color w:val="000000"/>
          <w:sz w:val="24"/>
        </w:rPr>
        <w:t>”</w:t>
      </w:r>
      <w:r>
        <w:rPr>
          <w:rFonts w:hint="eastAsia" w:ascii="Times New Roman" w:hAnsi="Times New Roman" w:eastAsia="楷体_GB2312"/>
          <w:color w:val="000000"/>
          <w:sz w:val="24"/>
        </w:rPr>
        <w:t>综合业务和信息服务平台、中国货币网、中国债券信息网、</w:t>
      </w:r>
      <w:r>
        <w:rPr>
          <w:rFonts w:ascii="Times New Roman" w:hAnsi="Times New Roman" w:eastAsia="楷体_GB2312"/>
          <w:color w:val="000000"/>
          <w:sz w:val="24"/>
        </w:rPr>
        <w:t>“</w:t>
      </w:r>
      <w:r>
        <w:rPr>
          <w:rFonts w:hint="eastAsia" w:ascii="Times New Roman" w:hAnsi="Times New Roman" w:eastAsia="楷体_GB2312"/>
          <w:color w:val="000000"/>
          <w:sz w:val="24"/>
        </w:rPr>
        <w:t>北金所</w:t>
      </w:r>
      <w:r>
        <w:rPr>
          <w:rFonts w:ascii="Times New Roman" w:hAnsi="Times New Roman" w:eastAsia="楷体_GB2312"/>
          <w:color w:val="000000"/>
          <w:sz w:val="24"/>
        </w:rPr>
        <w:t>”</w:t>
      </w:r>
      <w:r>
        <w:rPr>
          <w:rFonts w:hint="eastAsia" w:ascii="Times New Roman" w:hAnsi="Times New Roman" w:eastAsia="楷体_GB2312"/>
          <w:color w:val="000000"/>
          <w:sz w:val="24"/>
        </w:rPr>
        <w:t>官方网站及</w:t>
      </w:r>
      <w:r>
        <w:rPr>
          <w:rFonts w:ascii="Times New Roman" w:hAnsi="Times New Roman" w:eastAsia="楷体_GB2312"/>
          <w:color w:val="000000"/>
          <w:sz w:val="24"/>
        </w:rPr>
        <w:t>“</w:t>
      </w:r>
      <w:r>
        <w:rPr>
          <w:rFonts w:hint="eastAsia" w:ascii="Times New Roman" w:hAnsi="Times New Roman" w:eastAsia="楷体_GB2312"/>
          <w:color w:val="000000"/>
          <w:sz w:val="24"/>
        </w:rPr>
        <w:t>交易商协会</w:t>
      </w:r>
      <w:r>
        <w:rPr>
          <w:rFonts w:ascii="Times New Roman" w:hAnsi="Times New Roman" w:eastAsia="楷体_GB2312"/>
          <w:color w:val="000000"/>
          <w:sz w:val="24"/>
        </w:rPr>
        <w:t>”</w:t>
      </w:r>
      <w:r>
        <w:rPr>
          <w:rFonts w:hint="eastAsia" w:ascii="Times New Roman" w:hAnsi="Times New Roman" w:eastAsia="楷体_GB2312"/>
          <w:color w:val="000000"/>
          <w:sz w:val="24"/>
        </w:rPr>
        <w:t>认可的其他方式</w:t>
      </w:r>
      <w:r>
        <w:rPr>
          <w:rFonts w:ascii="Times New Roman" w:hAnsi="Times New Roman" w:eastAsia="楷体_GB2312"/>
          <w:sz w:val="24"/>
        </w:rPr>
        <w:t>予以公告。</w:t>
      </w:r>
    </w:p>
    <w:p w14:paraId="4923C4C1">
      <w:pPr>
        <w:numPr>
          <w:ilvl w:val="0"/>
          <w:numId w:val="6"/>
        </w:numPr>
        <w:spacing w:before="156" w:beforeLines="50" w:after="156" w:afterLines="50" w:line="360" w:lineRule="auto"/>
        <w:outlineLvl w:val="0"/>
        <w:rPr>
          <w:rFonts w:ascii="Times New Roman" w:hAnsi="Times New Roman" w:eastAsia="楷体_GB2312"/>
          <w:b/>
          <w:sz w:val="24"/>
        </w:rPr>
      </w:pPr>
      <w:bookmarkStart w:id="1164" w:name="_Toc340398260"/>
      <w:bookmarkEnd w:id="1164"/>
      <w:bookmarkStart w:id="1165" w:name="_Toc340398340"/>
      <w:bookmarkEnd w:id="1165"/>
      <w:bookmarkStart w:id="1166" w:name="_Toc340398336"/>
      <w:bookmarkEnd w:id="1166"/>
      <w:bookmarkStart w:id="1167" w:name="_Toc340397549"/>
      <w:bookmarkEnd w:id="1167"/>
      <w:bookmarkStart w:id="1168" w:name="_Toc340398330"/>
      <w:bookmarkEnd w:id="1168"/>
      <w:bookmarkStart w:id="1169" w:name="_Toc340397544"/>
      <w:bookmarkEnd w:id="1169"/>
      <w:bookmarkStart w:id="1170" w:name="_Toc340398342"/>
      <w:bookmarkEnd w:id="1170"/>
      <w:bookmarkStart w:id="1171" w:name="_Toc340397428"/>
      <w:bookmarkEnd w:id="1171"/>
      <w:bookmarkStart w:id="1172" w:name="_Toc340398339"/>
      <w:bookmarkEnd w:id="1172"/>
      <w:bookmarkStart w:id="1173" w:name="_Toc340398338"/>
      <w:bookmarkEnd w:id="1173"/>
      <w:bookmarkStart w:id="1174" w:name="_Toc340397547"/>
      <w:bookmarkEnd w:id="1174"/>
      <w:bookmarkStart w:id="1175" w:name="_Toc340398204"/>
      <w:bookmarkEnd w:id="1175"/>
      <w:bookmarkStart w:id="1176" w:name="_Toc340397551"/>
      <w:bookmarkEnd w:id="1176"/>
      <w:bookmarkStart w:id="1177" w:name="_Toc340397813"/>
      <w:bookmarkEnd w:id="1177"/>
      <w:bookmarkStart w:id="1178" w:name="_Toc340397554"/>
      <w:bookmarkEnd w:id="1178"/>
      <w:bookmarkStart w:id="1179" w:name="_Toc340397807"/>
      <w:bookmarkEnd w:id="1179"/>
      <w:bookmarkStart w:id="1180" w:name="_Toc340398341"/>
      <w:bookmarkEnd w:id="1180"/>
      <w:bookmarkStart w:id="1181" w:name="_Toc340397550"/>
      <w:bookmarkEnd w:id="1181"/>
      <w:bookmarkStart w:id="1182" w:name="_Toc340398244"/>
      <w:bookmarkEnd w:id="1182"/>
      <w:bookmarkStart w:id="1183" w:name="_Toc340398262"/>
      <w:bookmarkEnd w:id="1183"/>
      <w:bookmarkStart w:id="1184" w:name="_Toc340397493"/>
      <w:bookmarkEnd w:id="1184"/>
      <w:bookmarkStart w:id="1185" w:name="_Toc340398243"/>
      <w:bookmarkEnd w:id="1185"/>
      <w:bookmarkStart w:id="1186" w:name="_Toc340397841"/>
      <w:bookmarkEnd w:id="1186"/>
      <w:bookmarkStart w:id="1187" w:name="_Toc340397935"/>
      <w:bookmarkEnd w:id="1187"/>
      <w:bookmarkStart w:id="1188" w:name="_Toc340397881"/>
      <w:bookmarkEnd w:id="1188"/>
      <w:bookmarkStart w:id="1189" w:name="_Toc340398288"/>
      <w:bookmarkEnd w:id="1189"/>
      <w:bookmarkStart w:id="1190" w:name="_Toc120277355"/>
      <w:bookmarkEnd w:id="1190"/>
      <w:bookmarkStart w:id="1191" w:name="_Toc340397909"/>
      <w:bookmarkEnd w:id="1191"/>
      <w:bookmarkStart w:id="1192" w:name="_Toc340397815"/>
      <w:bookmarkEnd w:id="1192"/>
      <w:bookmarkStart w:id="1193" w:name="_Toc340397451"/>
      <w:bookmarkEnd w:id="1193"/>
      <w:bookmarkStart w:id="1194" w:name="_Toc340397445"/>
      <w:bookmarkEnd w:id="1194"/>
      <w:bookmarkStart w:id="1195" w:name="_Toc340397845"/>
      <w:bookmarkEnd w:id="1195"/>
      <w:bookmarkStart w:id="1196" w:name="_Toc340397466"/>
      <w:bookmarkEnd w:id="1196"/>
      <w:bookmarkStart w:id="1197" w:name="_Toc120277354"/>
      <w:bookmarkEnd w:id="1197"/>
      <w:bookmarkStart w:id="1198" w:name="_Toc340397512"/>
      <w:bookmarkEnd w:id="1198"/>
      <w:bookmarkStart w:id="1199" w:name="_Toc340398248"/>
      <w:bookmarkEnd w:id="1199"/>
      <w:bookmarkStart w:id="1200" w:name="_Toc340398282"/>
      <w:bookmarkEnd w:id="1200"/>
      <w:bookmarkStart w:id="1201" w:name="_Toc120276586"/>
      <w:bookmarkEnd w:id="1201"/>
      <w:bookmarkStart w:id="1202" w:name="_Toc340398246"/>
      <w:bookmarkEnd w:id="1202"/>
      <w:bookmarkStart w:id="1203" w:name="_Toc340398301"/>
      <w:bookmarkEnd w:id="1203"/>
      <w:bookmarkStart w:id="1204" w:name="_Toc340397936"/>
      <w:bookmarkEnd w:id="1204"/>
      <w:bookmarkStart w:id="1205" w:name="_Toc340397458"/>
      <w:bookmarkEnd w:id="1205"/>
      <w:bookmarkStart w:id="1206" w:name="_Toc340397899"/>
      <w:bookmarkEnd w:id="1206"/>
      <w:bookmarkStart w:id="1207" w:name="_Toc340397939"/>
      <w:bookmarkEnd w:id="1207"/>
      <w:bookmarkStart w:id="1208" w:name="_Toc340397417"/>
      <w:bookmarkEnd w:id="1208"/>
      <w:bookmarkStart w:id="1209" w:name="_Toc340398327"/>
      <w:bookmarkEnd w:id="1209"/>
      <w:bookmarkStart w:id="1210" w:name="_Toc340397418"/>
      <w:bookmarkEnd w:id="1210"/>
      <w:bookmarkStart w:id="1211" w:name="_Toc340397527"/>
      <w:bookmarkEnd w:id="1211"/>
      <w:bookmarkStart w:id="1212" w:name="_Toc340398238"/>
      <w:bookmarkEnd w:id="1212"/>
      <w:bookmarkStart w:id="1213" w:name="_Toc120276585"/>
      <w:bookmarkEnd w:id="1213"/>
      <w:bookmarkStart w:id="1214" w:name="_Toc340397836"/>
      <w:bookmarkEnd w:id="1214"/>
      <w:bookmarkStart w:id="1215" w:name="_Toc340398290"/>
      <w:bookmarkEnd w:id="1215"/>
      <w:bookmarkStart w:id="1216" w:name="_Toc340397867"/>
      <w:bookmarkEnd w:id="1216"/>
      <w:bookmarkStart w:id="1217" w:name="_Toc340397455"/>
      <w:bookmarkEnd w:id="1217"/>
      <w:bookmarkStart w:id="1218" w:name="_Toc120275182"/>
      <w:bookmarkEnd w:id="1218"/>
      <w:bookmarkStart w:id="1219" w:name="_Toc340397920"/>
      <w:bookmarkEnd w:id="1219"/>
      <w:bookmarkStart w:id="1220" w:name="_Toc340397529"/>
      <w:bookmarkEnd w:id="1220"/>
      <w:bookmarkStart w:id="1221" w:name="_Toc340398285"/>
      <w:bookmarkEnd w:id="1221"/>
      <w:bookmarkStart w:id="1222" w:name="_Toc340397837"/>
      <w:bookmarkEnd w:id="1222"/>
      <w:bookmarkStart w:id="1223" w:name="_Toc340397852"/>
      <w:bookmarkEnd w:id="1223"/>
      <w:bookmarkStart w:id="1224" w:name="_Toc340398273"/>
      <w:bookmarkEnd w:id="1224"/>
      <w:bookmarkStart w:id="1225" w:name="_Toc340398214"/>
      <w:bookmarkEnd w:id="1225"/>
      <w:bookmarkStart w:id="1226" w:name="_Toc340398192"/>
      <w:bookmarkEnd w:id="1226"/>
      <w:bookmarkStart w:id="1227" w:name="_Toc340397499"/>
      <w:bookmarkEnd w:id="1227"/>
      <w:bookmarkStart w:id="1228" w:name="_Toc340397874"/>
      <w:bookmarkEnd w:id="1228"/>
      <w:bookmarkStart w:id="1229" w:name="_Toc340398242"/>
      <w:bookmarkEnd w:id="1229"/>
      <w:bookmarkStart w:id="1230" w:name="_Toc340397879"/>
      <w:bookmarkEnd w:id="1230"/>
      <w:bookmarkStart w:id="1231" w:name="_Toc340397410"/>
      <w:bookmarkEnd w:id="1231"/>
      <w:bookmarkStart w:id="1232" w:name="_Toc340397875"/>
      <w:bookmarkEnd w:id="1232"/>
      <w:bookmarkStart w:id="1233" w:name="_Toc340397494"/>
      <w:bookmarkEnd w:id="1233"/>
      <w:bookmarkStart w:id="1234" w:name="_Toc340397470"/>
      <w:bookmarkEnd w:id="1234"/>
      <w:bookmarkStart w:id="1235" w:name="_Toc340397481"/>
      <w:bookmarkEnd w:id="1235"/>
      <w:bookmarkStart w:id="1236" w:name="_Toc120277521"/>
      <w:bookmarkEnd w:id="1236"/>
      <w:bookmarkStart w:id="1237" w:name="_Toc340397885"/>
      <w:bookmarkEnd w:id="1237"/>
      <w:bookmarkStart w:id="1238" w:name="_Toc340398322"/>
      <w:bookmarkEnd w:id="1238"/>
      <w:bookmarkStart w:id="1239" w:name="_Toc340397848"/>
      <w:bookmarkEnd w:id="1239"/>
      <w:bookmarkStart w:id="1240" w:name="_Toc340397450"/>
      <w:bookmarkEnd w:id="1240"/>
      <w:bookmarkStart w:id="1241" w:name="_Toc340398193"/>
      <w:bookmarkEnd w:id="1241"/>
      <w:bookmarkStart w:id="1242" w:name="_Toc340397497"/>
      <w:bookmarkEnd w:id="1242"/>
      <w:bookmarkStart w:id="1243" w:name="_Toc120277266"/>
      <w:bookmarkEnd w:id="1243"/>
      <w:bookmarkStart w:id="1244" w:name="_Toc340398293"/>
      <w:bookmarkEnd w:id="1244"/>
      <w:bookmarkStart w:id="1245" w:name="_Toc340398233"/>
      <w:bookmarkEnd w:id="1245"/>
      <w:bookmarkStart w:id="1246" w:name="_Toc340397510"/>
      <w:bookmarkEnd w:id="1246"/>
      <w:bookmarkStart w:id="1247" w:name="_Toc340397486"/>
      <w:bookmarkEnd w:id="1247"/>
      <w:bookmarkStart w:id="1248" w:name="_Toc340398230"/>
      <w:bookmarkEnd w:id="1248"/>
      <w:bookmarkStart w:id="1249" w:name="_Toc340397863"/>
      <w:bookmarkEnd w:id="1249"/>
      <w:bookmarkStart w:id="1250" w:name="_Toc340398235"/>
      <w:bookmarkEnd w:id="1250"/>
      <w:bookmarkStart w:id="1251" w:name="_Toc340397840"/>
      <w:bookmarkEnd w:id="1251"/>
      <w:bookmarkStart w:id="1252" w:name="_Toc340397850"/>
      <w:bookmarkEnd w:id="1252"/>
      <w:bookmarkStart w:id="1253" w:name="_Toc340397884"/>
      <w:bookmarkEnd w:id="1253"/>
      <w:bookmarkStart w:id="1254" w:name="_Toc340397526"/>
      <w:bookmarkEnd w:id="1254"/>
      <w:bookmarkStart w:id="1255" w:name="_Toc340398185"/>
      <w:bookmarkEnd w:id="1255"/>
      <w:bookmarkStart w:id="1256" w:name="_Toc340397488"/>
      <w:bookmarkEnd w:id="1256"/>
      <w:bookmarkStart w:id="1257" w:name="_Toc340397500"/>
      <w:bookmarkEnd w:id="1257"/>
      <w:bookmarkStart w:id="1258" w:name="_Toc340398231"/>
      <w:bookmarkEnd w:id="1258"/>
      <w:bookmarkStart w:id="1259" w:name="_Toc340397485"/>
      <w:bookmarkEnd w:id="1259"/>
      <w:bookmarkStart w:id="1260" w:name="_Toc340398272"/>
      <w:bookmarkEnd w:id="1260"/>
      <w:bookmarkStart w:id="1261" w:name="_Toc120275183"/>
      <w:bookmarkEnd w:id="1261"/>
      <w:bookmarkStart w:id="1262" w:name="_Toc340398217"/>
      <w:bookmarkEnd w:id="1262"/>
      <w:bookmarkStart w:id="1263" w:name="_Toc340397421"/>
      <w:bookmarkEnd w:id="1263"/>
      <w:bookmarkStart w:id="1264" w:name="_Toc340397429"/>
      <w:bookmarkEnd w:id="1264"/>
      <w:bookmarkStart w:id="1265" w:name="_Toc340397826"/>
      <w:bookmarkEnd w:id="1265"/>
      <w:bookmarkStart w:id="1266" w:name="_Toc340397415"/>
      <w:bookmarkEnd w:id="1266"/>
      <w:bookmarkStart w:id="1267" w:name="_Toc340398188"/>
      <w:bookmarkEnd w:id="1267"/>
      <w:bookmarkStart w:id="1268" w:name="_Toc340397824"/>
      <w:bookmarkEnd w:id="1268"/>
      <w:bookmarkStart w:id="1269" w:name="_Toc340397816"/>
      <w:bookmarkEnd w:id="1269"/>
      <w:bookmarkStart w:id="1270" w:name="_Toc340397543"/>
      <w:bookmarkEnd w:id="1270"/>
      <w:bookmarkStart w:id="1271" w:name="_Toc340397919"/>
      <w:bookmarkEnd w:id="1271"/>
      <w:bookmarkStart w:id="1272" w:name="_Toc340397913"/>
      <w:bookmarkEnd w:id="1272"/>
      <w:bookmarkStart w:id="1273" w:name="_Toc340398325"/>
      <w:bookmarkEnd w:id="1273"/>
      <w:bookmarkStart w:id="1274" w:name="_Toc340397800"/>
      <w:bookmarkEnd w:id="1274"/>
      <w:bookmarkStart w:id="1275" w:name="_Toc340397503"/>
      <w:bookmarkEnd w:id="1275"/>
      <w:bookmarkStart w:id="1276" w:name="_Toc340397883"/>
      <w:bookmarkEnd w:id="1276"/>
      <w:bookmarkStart w:id="1277" w:name="_Toc340397459"/>
      <w:bookmarkEnd w:id="1277"/>
      <w:bookmarkStart w:id="1278" w:name="_Toc340397413"/>
      <w:bookmarkEnd w:id="1278"/>
      <w:bookmarkStart w:id="1279" w:name="_Toc340397546"/>
      <w:bookmarkEnd w:id="1279"/>
      <w:bookmarkStart w:id="1280" w:name="_Toc340397436"/>
      <w:bookmarkEnd w:id="1280"/>
      <w:bookmarkStart w:id="1281" w:name="_Toc340397928"/>
      <w:bookmarkEnd w:id="1281"/>
      <w:bookmarkStart w:id="1282" w:name="_Toc340398321"/>
      <w:bookmarkEnd w:id="1282"/>
      <w:bookmarkStart w:id="1283" w:name="_Toc340397538"/>
      <w:bookmarkEnd w:id="1283"/>
      <w:bookmarkStart w:id="1284" w:name="_Toc340398212"/>
      <w:bookmarkEnd w:id="1284"/>
      <w:bookmarkStart w:id="1285" w:name="_Toc340397825"/>
      <w:bookmarkEnd w:id="1285"/>
      <w:bookmarkStart w:id="1286" w:name="_Toc340397817"/>
      <w:bookmarkEnd w:id="1286"/>
      <w:bookmarkStart w:id="1287" w:name="_Toc340398269"/>
      <w:bookmarkEnd w:id="1287"/>
      <w:bookmarkStart w:id="1288" w:name="_Toc340397443"/>
      <w:bookmarkEnd w:id="1288"/>
      <w:bookmarkStart w:id="1289" w:name="_Toc340398245"/>
      <w:bookmarkEnd w:id="1289"/>
      <w:bookmarkStart w:id="1290" w:name="_Toc340397921"/>
      <w:bookmarkEnd w:id="1290"/>
      <w:bookmarkStart w:id="1291" w:name="_Toc340397830"/>
      <w:bookmarkEnd w:id="1291"/>
      <w:bookmarkStart w:id="1292" w:name="_Toc340397799"/>
      <w:bookmarkEnd w:id="1292"/>
      <w:bookmarkStart w:id="1293" w:name="_Toc340397541"/>
      <w:bookmarkEnd w:id="1293"/>
      <w:bookmarkStart w:id="1294" w:name="_Toc340397808"/>
      <w:bookmarkEnd w:id="1294"/>
      <w:bookmarkStart w:id="1295" w:name="_Toc340398337"/>
      <w:bookmarkEnd w:id="1295"/>
      <w:bookmarkStart w:id="1296" w:name="_Toc340398324"/>
      <w:bookmarkEnd w:id="1296"/>
      <w:bookmarkStart w:id="1297" w:name="_Toc340397432"/>
      <w:bookmarkEnd w:id="1297"/>
      <w:bookmarkStart w:id="1298" w:name="_Toc340397489"/>
      <w:bookmarkEnd w:id="1298"/>
      <w:bookmarkStart w:id="1299" w:name="_Toc340397456"/>
      <w:bookmarkEnd w:id="1299"/>
      <w:bookmarkStart w:id="1300" w:name="_Toc340397467"/>
      <w:bookmarkEnd w:id="1300"/>
      <w:bookmarkStart w:id="1301" w:name="_Toc340398271"/>
      <w:bookmarkEnd w:id="1301"/>
      <w:bookmarkStart w:id="1302" w:name="_Toc340398255"/>
      <w:bookmarkEnd w:id="1302"/>
      <w:bookmarkStart w:id="1303" w:name="_Toc340397431"/>
      <w:bookmarkEnd w:id="1303"/>
      <w:bookmarkStart w:id="1304" w:name="_Toc340397810"/>
      <w:bookmarkEnd w:id="1304"/>
      <w:bookmarkStart w:id="1305" w:name="_Toc340398328"/>
      <w:bookmarkEnd w:id="1305"/>
      <w:bookmarkStart w:id="1306" w:name="_Toc340397812"/>
      <w:bookmarkEnd w:id="1306"/>
      <w:bookmarkStart w:id="1307" w:name="_Toc340397423"/>
      <w:bookmarkEnd w:id="1307"/>
      <w:bookmarkStart w:id="1308" w:name="_Toc340398225"/>
      <w:bookmarkEnd w:id="1308"/>
      <w:bookmarkStart w:id="1309" w:name="_Toc340397941"/>
      <w:bookmarkEnd w:id="1309"/>
      <w:bookmarkStart w:id="1310" w:name="_Toc340398292"/>
      <w:bookmarkEnd w:id="1310"/>
      <w:bookmarkStart w:id="1311" w:name="_Toc340397534"/>
      <w:bookmarkEnd w:id="1311"/>
      <w:bookmarkStart w:id="1312" w:name="_Toc340397882"/>
      <w:bookmarkEnd w:id="1312"/>
      <w:bookmarkStart w:id="1313" w:name="_Toc340397796"/>
      <w:bookmarkEnd w:id="1313"/>
      <w:bookmarkStart w:id="1314" w:name="_Toc340398194"/>
      <w:bookmarkEnd w:id="1314"/>
      <w:bookmarkStart w:id="1315" w:name="_Toc340397829"/>
      <w:bookmarkEnd w:id="1315"/>
      <w:bookmarkStart w:id="1316" w:name="_Toc340397923"/>
      <w:bookmarkEnd w:id="1316"/>
      <w:bookmarkStart w:id="1317" w:name="_Toc340398315"/>
      <w:bookmarkEnd w:id="1317"/>
      <w:bookmarkStart w:id="1318" w:name="_Toc340398195"/>
      <w:bookmarkEnd w:id="1318"/>
      <w:bookmarkStart w:id="1319" w:name="_Toc340397868"/>
      <w:bookmarkEnd w:id="1319"/>
      <w:bookmarkStart w:id="1320" w:name="_Toc340397859"/>
      <w:bookmarkEnd w:id="1320"/>
      <w:bookmarkStart w:id="1321" w:name="_Toc340398189"/>
      <w:bookmarkEnd w:id="1321"/>
      <w:bookmarkStart w:id="1322" w:name="_Toc340397802"/>
      <w:bookmarkEnd w:id="1322"/>
      <w:bookmarkStart w:id="1323" w:name="_Toc340397441"/>
      <w:bookmarkEnd w:id="1323"/>
      <w:bookmarkStart w:id="1324" w:name="_Toc340397533"/>
      <w:bookmarkEnd w:id="1324"/>
      <w:bookmarkStart w:id="1325" w:name="_Toc340398295"/>
      <w:bookmarkEnd w:id="1325"/>
      <w:bookmarkStart w:id="1326" w:name="_Toc340397894"/>
      <w:bookmarkEnd w:id="1326"/>
      <w:bookmarkStart w:id="1327" w:name="_Toc340397866"/>
      <w:bookmarkEnd w:id="1327"/>
      <w:bookmarkStart w:id="1328" w:name="_Toc340397865"/>
      <w:bookmarkEnd w:id="1328"/>
      <w:bookmarkStart w:id="1329" w:name="_Toc340398254"/>
      <w:bookmarkEnd w:id="1329"/>
      <w:bookmarkStart w:id="1330" w:name="_Toc340397475"/>
      <w:bookmarkEnd w:id="1330"/>
      <w:bookmarkStart w:id="1331" w:name="_Toc340397446"/>
      <w:bookmarkEnd w:id="1331"/>
      <w:bookmarkStart w:id="1332" w:name="_Toc340398226"/>
      <w:bookmarkEnd w:id="1332"/>
      <w:bookmarkStart w:id="1333" w:name="_Toc340398227"/>
      <w:bookmarkEnd w:id="1333"/>
      <w:bookmarkStart w:id="1334" w:name="_Toc340397797"/>
      <w:bookmarkEnd w:id="1334"/>
      <w:bookmarkStart w:id="1335" w:name="_Toc340397847"/>
      <w:bookmarkEnd w:id="1335"/>
      <w:bookmarkStart w:id="1336" w:name="_Toc340397480"/>
      <w:bookmarkEnd w:id="1336"/>
      <w:bookmarkStart w:id="1337" w:name="_Toc340397851"/>
      <w:bookmarkEnd w:id="1337"/>
      <w:bookmarkStart w:id="1338" w:name="_Toc340398310"/>
      <w:bookmarkEnd w:id="1338"/>
      <w:bookmarkStart w:id="1339" w:name="_Toc340397542"/>
      <w:bookmarkEnd w:id="1339"/>
      <w:bookmarkStart w:id="1340" w:name="_Toc340398263"/>
      <w:bookmarkEnd w:id="1340"/>
      <w:bookmarkStart w:id="1341" w:name="_Toc340397834"/>
      <w:bookmarkEnd w:id="1341"/>
      <w:bookmarkStart w:id="1342" w:name="_Toc340398196"/>
      <w:bookmarkEnd w:id="1342"/>
      <w:bookmarkStart w:id="1343" w:name="_Toc340398299"/>
      <w:bookmarkEnd w:id="1343"/>
      <w:bookmarkStart w:id="1344" w:name="_Toc340397545"/>
      <w:bookmarkEnd w:id="1344"/>
      <w:bookmarkStart w:id="1345" w:name="_Toc340397849"/>
      <w:bookmarkEnd w:id="1345"/>
      <w:bookmarkStart w:id="1346" w:name="_Toc340397889"/>
      <w:bookmarkEnd w:id="1346"/>
      <w:bookmarkStart w:id="1347" w:name="_Toc340397409"/>
      <w:bookmarkEnd w:id="1347"/>
      <w:bookmarkStart w:id="1348" w:name="_Toc340398331"/>
      <w:bookmarkEnd w:id="1348"/>
      <w:bookmarkStart w:id="1349" w:name="_Toc340397915"/>
      <w:bookmarkEnd w:id="1349"/>
      <w:bookmarkStart w:id="1350" w:name="_Toc340397468"/>
      <w:bookmarkEnd w:id="1350"/>
      <w:bookmarkStart w:id="1351" w:name="_Toc340397524"/>
      <w:bookmarkEnd w:id="1351"/>
      <w:bookmarkStart w:id="1352" w:name="_Toc340397507"/>
      <w:bookmarkEnd w:id="1352"/>
      <w:bookmarkStart w:id="1353" w:name="_Toc340397890"/>
      <w:bookmarkEnd w:id="1353"/>
      <w:bookmarkStart w:id="1354" w:name="_Toc340397912"/>
      <w:bookmarkEnd w:id="1354"/>
      <w:bookmarkStart w:id="1355" w:name="_Toc340397508"/>
      <w:bookmarkEnd w:id="1355"/>
      <w:bookmarkStart w:id="1356" w:name="_Toc340397864"/>
      <w:bookmarkEnd w:id="1356"/>
      <w:bookmarkStart w:id="1357" w:name="_Toc340398306"/>
      <w:bookmarkEnd w:id="1357"/>
      <w:bookmarkStart w:id="1358" w:name="_Toc340398294"/>
      <w:bookmarkEnd w:id="1358"/>
      <w:bookmarkStart w:id="1359" w:name="_Toc340398326"/>
      <w:bookmarkEnd w:id="1359"/>
      <w:bookmarkStart w:id="1360" w:name="_Toc340398265"/>
      <w:bookmarkEnd w:id="1360"/>
      <w:bookmarkStart w:id="1361" w:name="_Toc340397801"/>
      <w:bookmarkEnd w:id="1361"/>
      <w:bookmarkStart w:id="1362" w:name="_Toc340398200"/>
      <w:bookmarkEnd w:id="1362"/>
      <w:bookmarkStart w:id="1363" w:name="_Toc340398187"/>
      <w:bookmarkEnd w:id="1363"/>
      <w:bookmarkStart w:id="1364" w:name="_Toc340398287"/>
      <w:bookmarkEnd w:id="1364"/>
      <w:bookmarkStart w:id="1365" w:name="_Toc340398312"/>
      <w:bookmarkEnd w:id="1365"/>
      <w:bookmarkStart w:id="1366" w:name="_Toc340397932"/>
      <w:bookmarkEnd w:id="1366"/>
      <w:bookmarkStart w:id="1367" w:name="_Toc340397930"/>
      <w:bookmarkEnd w:id="1367"/>
      <w:bookmarkStart w:id="1368" w:name="_Toc340398239"/>
      <w:bookmarkEnd w:id="1368"/>
      <w:bookmarkStart w:id="1369" w:name="_Toc340397902"/>
      <w:bookmarkEnd w:id="1369"/>
      <w:bookmarkStart w:id="1370" w:name="_Toc340397872"/>
      <w:bookmarkEnd w:id="1370"/>
      <w:bookmarkStart w:id="1371" w:name="_Toc340398298"/>
      <w:bookmarkEnd w:id="1371"/>
      <w:bookmarkStart w:id="1372" w:name="_Toc340397858"/>
      <w:bookmarkEnd w:id="1372"/>
      <w:bookmarkStart w:id="1373" w:name="_Toc340398256"/>
      <w:bookmarkEnd w:id="1373"/>
      <w:bookmarkStart w:id="1374" w:name="_Toc340397498"/>
      <w:bookmarkEnd w:id="1374"/>
      <w:bookmarkStart w:id="1375" w:name="_Toc340398190"/>
      <w:bookmarkEnd w:id="1375"/>
      <w:bookmarkStart w:id="1376" w:name="_Toc340397933"/>
      <w:bookmarkEnd w:id="1376"/>
      <w:bookmarkStart w:id="1377" w:name="_Toc340397857"/>
      <w:bookmarkEnd w:id="1377"/>
      <w:bookmarkStart w:id="1378" w:name="_Toc340397898"/>
      <w:bookmarkEnd w:id="1378"/>
      <w:bookmarkStart w:id="1379" w:name="_Toc340397501"/>
      <w:bookmarkEnd w:id="1379"/>
      <w:bookmarkStart w:id="1380" w:name="_Toc340398236"/>
      <w:bookmarkEnd w:id="1380"/>
      <w:bookmarkStart w:id="1381" w:name="_Toc340398275"/>
      <w:bookmarkEnd w:id="1381"/>
      <w:bookmarkStart w:id="1382" w:name="_Toc120277265"/>
      <w:bookmarkEnd w:id="1382"/>
      <w:bookmarkStart w:id="1383" w:name="_Toc340398278"/>
      <w:bookmarkEnd w:id="1383"/>
      <w:bookmarkStart w:id="1384" w:name="_Toc340397873"/>
      <w:bookmarkEnd w:id="1384"/>
      <w:bookmarkStart w:id="1385" w:name="_Toc340397843"/>
      <w:bookmarkEnd w:id="1385"/>
      <w:bookmarkStart w:id="1386" w:name="_Toc340397460"/>
      <w:bookmarkEnd w:id="1386"/>
      <w:bookmarkStart w:id="1387" w:name="_Toc340397408"/>
      <w:bookmarkEnd w:id="1387"/>
      <w:bookmarkStart w:id="1388" w:name="_Toc340397491"/>
      <w:bookmarkEnd w:id="1388"/>
      <w:bookmarkStart w:id="1389" w:name="_Toc340397462"/>
      <w:bookmarkEnd w:id="1389"/>
      <w:bookmarkStart w:id="1390" w:name="_Toc340398291"/>
      <w:bookmarkEnd w:id="1390"/>
      <w:bookmarkStart w:id="1391" w:name="_Toc340398247"/>
      <w:bookmarkEnd w:id="1391"/>
      <w:bookmarkStart w:id="1392" w:name="_Toc340397828"/>
      <w:bookmarkEnd w:id="1392"/>
      <w:bookmarkStart w:id="1393" w:name="_Toc340397479"/>
      <w:bookmarkEnd w:id="1393"/>
      <w:bookmarkStart w:id="1394" w:name="_Toc340398257"/>
      <w:bookmarkEnd w:id="1394"/>
      <w:bookmarkStart w:id="1395" w:name="_Toc340397440"/>
      <w:bookmarkEnd w:id="1395"/>
      <w:bookmarkStart w:id="1396" w:name="_Toc340397463"/>
      <w:bookmarkEnd w:id="1396"/>
      <w:bookmarkStart w:id="1397" w:name="_Toc340397855"/>
      <w:bookmarkEnd w:id="1397"/>
      <w:bookmarkStart w:id="1398" w:name="_Toc340397895"/>
      <w:bookmarkEnd w:id="1398"/>
      <w:bookmarkStart w:id="1399" w:name="_Toc340397506"/>
      <w:bookmarkEnd w:id="1399"/>
      <w:bookmarkStart w:id="1400" w:name="_Toc340398266"/>
      <w:bookmarkEnd w:id="1400"/>
      <w:bookmarkStart w:id="1401" w:name="_Toc340397904"/>
      <w:bookmarkEnd w:id="1401"/>
      <w:bookmarkStart w:id="1402" w:name="_Toc340397505"/>
      <w:bookmarkEnd w:id="1402"/>
      <w:bookmarkStart w:id="1403" w:name="_Toc340397461"/>
      <w:bookmarkEnd w:id="1403"/>
      <w:bookmarkStart w:id="1404" w:name="_Toc340397892"/>
      <w:bookmarkEnd w:id="1404"/>
      <w:bookmarkStart w:id="1405" w:name="_Toc340397411"/>
      <w:bookmarkEnd w:id="1405"/>
      <w:bookmarkStart w:id="1406" w:name="_Toc340398289"/>
      <w:bookmarkEnd w:id="1406"/>
      <w:bookmarkStart w:id="1407" w:name="_Toc340397896"/>
      <w:bookmarkEnd w:id="1407"/>
      <w:bookmarkStart w:id="1408" w:name="_Toc340397454"/>
      <w:bookmarkEnd w:id="1408"/>
      <w:bookmarkStart w:id="1409" w:name="_Toc340398297"/>
      <w:bookmarkEnd w:id="1409"/>
      <w:bookmarkStart w:id="1410" w:name="_Toc120149140"/>
      <w:bookmarkEnd w:id="1410"/>
      <w:bookmarkStart w:id="1411" w:name="_Toc340398261"/>
      <w:bookmarkEnd w:id="1411"/>
      <w:bookmarkStart w:id="1412" w:name="_Toc340398240"/>
      <w:bookmarkEnd w:id="1412"/>
      <w:bookmarkStart w:id="1413" w:name="_Toc340397477"/>
      <w:bookmarkEnd w:id="1413"/>
      <w:bookmarkStart w:id="1414" w:name="_Toc340398252"/>
      <w:bookmarkEnd w:id="1414"/>
      <w:bookmarkStart w:id="1415" w:name="_Toc340397844"/>
      <w:bookmarkEnd w:id="1415"/>
      <w:bookmarkStart w:id="1416" w:name="_Toc340397842"/>
      <w:bookmarkEnd w:id="1416"/>
      <w:bookmarkStart w:id="1417" w:name="_Toc340397530"/>
      <w:bookmarkEnd w:id="1417"/>
      <w:bookmarkStart w:id="1418" w:name="_Toc340398267"/>
      <w:bookmarkEnd w:id="1418"/>
      <w:bookmarkStart w:id="1419" w:name="_Toc340398296"/>
      <w:bookmarkEnd w:id="1419"/>
      <w:bookmarkStart w:id="1420" w:name="_Toc340397938"/>
      <w:bookmarkEnd w:id="1420"/>
      <w:bookmarkStart w:id="1421" w:name="_Toc340397856"/>
      <w:bookmarkEnd w:id="1421"/>
      <w:bookmarkStart w:id="1422" w:name="_Toc340397911"/>
      <w:bookmarkEnd w:id="1422"/>
      <w:bookmarkStart w:id="1423" w:name="_Toc340398333"/>
      <w:bookmarkEnd w:id="1423"/>
      <w:bookmarkStart w:id="1424" w:name="_Toc340397862"/>
      <w:bookmarkEnd w:id="1424"/>
      <w:bookmarkStart w:id="1425" w:name="_Toc340397525"/>
      <w:bookmarkEnd w:id="1425"/>
      <w:bookmarkStart w:id="1426" w:name="_Toc340397916"/>
      <w:bookmarkEnd w:id="1426"/>
      <w:bookmarkStart w:id="1427" w:name="_Toc340397907"/>
      <w:bookmarkEnd w:id="1427"/>
      <w:bookmarkStart w:id="1428" w:name="_Toc340397811"/>
      <w:bookmarkEnd w:id="1428"/>
      <w:bookmarkStart w:id="1429" w:name="_Toc340397553"/>
      <w:bookmarkEnd w:id="1429"/>
      <w:bookmarkStart w:id="1430" w:name="_Toc340397927"/>
      <w:bookmarkEnd w:id="1430"/>
      <w:bookmarkStart w:id="1431" w:name="_Toc340397839"/>
      <w:bookmarkEnd w:id="1431"/>
      <w:bookmarkStart w:id="1432" w:name="_Toc340397900"/>
      <w:bookmarkEnd w:id="1432"/>
      <w:bookmarkStart w:id="1433" w:name="_Toc340398318"/>
      <w:bookmarkEnd w:id="1433"/>
      <w:bookmarkStart w:id="1434" w:name="_Toc340398250"/>
      <w:bookmarkEnd w:id="1434"/>
      <w:bookmarkStart w:id="1435" w:name="_Toc340397474"/>
      <w:bookmarkEnd w:id="1435"/>
      <w:bookmarkStart w:id="1436" w:name="_Toc340397532"/>
      <w:bookmarkEnd w:id="1436"/>
      <w:bookmarkStart w:id="1437" w:name="_Toc340398311"/>
      <w:bookmarkEnd w:id="1437"/>
      <w:bookmarkStart w:id="1438" w:name="_Toc340397496"/>
      <w:bookmarkEnd w:id="1438"/>
      <w:bookmarkStart w:id="1439" w:name="_Toc340398283"/>
      <w:bookmarkEnd w:id="1439"/>
      <w:bookmarkStart w:id="1440" w:name="_Toc340398197"/>
      <w:bookmarkEnd w:id="1440"/>
      <w:bookmarkStart w:id="1441" w:name="_Toc340397831"/>
      <w:bookmarkEnd w:id="1441"/>
      <w:bookmarkStart w:id="1442" w:name="_Toc340397833"/>
      <w:bookmarkEnd w:id="1442"/>
      <w:bookmarkStart w:id="1443" w:name="_Toc340397914"/>
      <w:bookmarkEnd w:id="1443"/>
      <w:bookmarkStart w:id="1444" w:name="_Toc340398274"/>
      <w:bookmarkEnd w:id="1444"/>
      <w:bookmarkStart w:id="1445" w:name="_Toc340398268"/>
      <w:bookmarkEnd w:id="1445"/>
      <w:bookmarkStart w:id="1446" w:name="_Toc340397798"/>
      <w:bookmarkEnd w:id="1446"/>
      <w:bookmarkStart w:id="1447" w:name="_Toc340397515"/>
      <w:bookmarkEnd w:id="1447"/>
      <w:bookmarkStart w:id="1448" w:name="_Toc340397414"/>
      <w:bookmarkEnd w:id="1448"/>
      <w:bookmarkStart w:id="1449" w:name="_Toc340397464"/>
      <w:bookmarkEnd w:id="1449"/>
      <w:bookmarkStart w:id="1450" w:name="_Toc340397492"/>
      <w:bookmarkEnd w:id="1450"/>
      <w:bookmarkStart w:id="1451" w:name="_Toc340397426"/>
      <w:bookmarkEnd w:id="1451"/>
      <w:bookmarkStart w:id="1452" w:name="_Toc340397412"/>
      <w:bookmarkEnd w:id="1452"/>
      <w:bookmarkStart w:id="1453" w:name="_Toc340397908"/>
      <w:bookmarkEnd w:id="1453"/>
      <w:bookmarkStart w:id="1454" w:name="_Toc340397444"/>
      <w:bookmarkEnd w:id="1454"/>
      <w:bookmarkStart w:id="1455" w:name="_Toc340397869"/>
      <w:bookmarkEnd w:id="1455"/>
      <w:bookmarkStart w:id="1456" w:name="_Toc340397487"/>
      <w:bookmarkEnd w:id="1456"/>
      <w:bookmarkStart w:id="1457" w:name="_Toc340397891"/>
      <w:bookmarkEnd w:id="1457"/>
      <w:bookmarkStart w:id="1458" w:name="_Toc340397819"/>
      <w:bookmarkEnd w:id="1458"/>
      <w:bookmarkStart w:id="1459" w:name="_Toc340397448"/>
      <w:bookmarkEnd w:id="1459"/>
      <w:bookmarkStart w:id="1460" w:name="_Toc340397469"/>
      <w:bookmarkEnd w:id="1460"/>
      <w:bookmarkStart w:id="1461" w:name="_Toc340397449"/>
      <w:bookmarkEnd w:id="1461"/>
      <w:bookmarkStart w:id="1462" w:name="_Toc340398277"/>
      <w:bookmarkEnd w:id="1462"/>
      <w:bookmarkStart w:id="1463" w:name="_Toc340397438"/>
      <w:bookmarkEnd w:id="1463"/>
      <w:bookmarkStart w:id="1464" w:name="_Toc120277520"/>
      <w:bookmarkEnd w:id="1464"/>
      <w:bookmarkStart w:id="1465" w:name="_Toc340397482"/>
      <w:bookmarkEnd w:id="1465"/>
      <w:bookmarkStart w:id="1466" w:name="_Toc340398222"/>
      <w:bookmarkEnd w:id="1466"/>
      <w:bookmarkStart w:id="1467" w:name="_Toc340398281"/>
      <w:bookmarkEnd w:id="1467"/>
      <w:bookmarkStart w:id="1468" w:name="_Toc340397832"/>
      <w:bookmarkEnd w:id="1468"/>
      <w:bookmarkStart w:id="1469" w:name="_Toc340398186"/>
      <w:bookmarkEnd w:id="1469"/>
      <w:bookmarkStart w:id="1470" w:name="_Toc340397433"/>
      <w:bookmarkEnd w:id="1470"/>
      <w:bookmarkStart w:id="1471" w:name="_Toc340397823"/>
      <w:bookmarkEnd w:id="1471"/>
      <w:bookmarkStart w:id="1472" w:name="_Toc340398284"/>
      <w:bookmarkEnd w:id="1472"/>
      <w:bookmarkStart w:id="1473" w:name="_Toc340398241"/>
      <w:bookmarkEnd w:id="1473"/>
      <w:bookmarkStart w:id="1474" w:name="_Toc340398280"/>
      <w:bookmarkEnd w:id="1474"/>
      <w:bookmarkStart w:id="1475" w:name="_Toc340398198"/>
      <w:bookmarkEnd w:id="1475"/>
      <w:bookmarkStart w:id="1476" w:name="_Toc340398210"/>
      <w:bookmarkEnd w:id="1476"/>
      <w:bookmarkStart w:id="1477" w:name="_Toc340398191"/>
      <w:bookmarkEnd w:id="1477"/>
      <w:bookmarkStart w:id="1478" w:name="_Toc340398237"/>
      <w:bookmarkEnd w:id="1478"/>
      <w:bookmarkStart w:id="1479" w:name="_Toc340397876"/>
      <w:bookmarkEnd w:id="1479"/>
      <w:bookmarkStart w:id="1480" w:name="_Toc340397539"/>
      <w:bookmarkEnd w:id="1480"/>
      <w:bookmarkStart w:id="1481" w:name="_Toc340397803"/>
      <w:bookmarkEnd w:id="1481"/>
      <w:bookmarkStart w:id="1482" w:name="_Toc340398229"/>
      <w:bookmarkEnd w:id="1482"/>
      <w:bookmarkStart w:id="1483" w:name="_Toc340398232"/>
      <w:bookmarkEnd w:id="1483"/>
      <w:bookmarkStart w:id="1484" w:name="_Toc340397495"/>
      <w:bookmarkEnd w:id="1484"/>
      <w:bookmarkStart w:id="1485" w:name="_Toc340397893"/>
      <w:bookmarkEnd w:id="1485"/>
      <w:bookmarkStart w:id="1486" w:name="_Toc340397878"/>
      <w:bookmarkEnd w:id="1486"/>
      <w:bookmarkStart w:id="1487" w:name="_Toc340397427"/>
      <w:bookmarkEnd w:id="1487"/>
      <w:bookmarkStart w:id="1488" w:name="_Toc340397846"/>
      <w:bookmarkEnd w:id="1488"/>
      <w:bookmarkStart w:id="1489" w:name="_Toc340397442"/>
      <w:bookmarkEnd w:id="1489"/>
      <w:bookmarkStart w:id="1490" w:name="_Toc340398213"/>
      <w:bookmarkEnd w:id="1490"/>
      <w:bookmarkStart w:id="1491" w:name="_Toc340397804"/>
      <w:bookmarkEnd w:id="1491"/>
      <w:bookmarkStart w:id="1492" w:name="_Toc340398218"/>
      <w:bookmarkEnd w:id="1492"/>
      <w:bookmarkStart w:id="1493" w:name="_Toc340397483"/>
      <w:bookmarkEnd w:id="1493"/>
      <w:bookmarkStart w:id="1494" w:name="_Toc340398220"/>
      <w:bookmarkEnd w:id="1494"/>
      <w:bookmarkStart w:id="1495" w:name="_Toc340398316"/>
      <w:bookmarkEnd w:id="1495"/>
      <w:bookmarkStart w:id="1496" w:name="_Toc340398270"/>
      <w:bookmarkEnd w:id="1496"/>
      <w:bookmarkStart w:id="1497" w:name="_Toc340397476"/>
      <w:bookmarkEnd w:id="1497"/>
      <w:bookmarkStart w:id="1498" w:name="_Toc340398228"/>
      <w:bookmarkEnd w:id="1498"/>
      <w:bookmarkStart w:id="1499" w:name="_Toc340397434"/>
      <w:bookmarkEnd w:id="1499"/>
      <w:bookmarkStart w:id="1500" w:name="_Toc340397420"/>
      <w:bookmarkEnd w:id="1500"/>
      <w:bookmarkStart w:id="1501" w:name="_Toc340397531"/>
      <w:bookmarkEnd w:id="1501"/>
      <w:bookmarkStart w:id="1502" w:name="_Toc340397822"/>
      <w:bookmarkEnd w:id="1502"/>
      <w:bookmarkStart w:id="1503" w:name="_Toc340397430"/>
      <w:bookmarkEnd w:id="1503"/>
      <w:bookmarkStart w:id="1504" w:name="_Toc340397437"/>
      <w:bookmarkEnd w:id="1504"/>
      <w:bookmarkStart w:id="1505" w:name="_Toc340397870"/>
      <w:bookmarkEnd w:id="1505"/>
      <w:bookmarkStart w:id="1506" w:name="_Toc340397827"/>
      <w:bookmarkEnd w:id="1506"/>
      <w:bookmarkStart w:id="1507" w:name="_Toc340397871"/>
      <w:bookmarkEnd w:id="1507"/>
      <w:bookmarkStart w:id="1508" w:name="_Toc340397880"/>
      <w:bookmarkEnd w:id="1508"/>
      <w:bookmarkStart w:id="1509" w:name="_Toc340397537"/>
      <w:bookmarkEnd w:id="1509"/>
      <w:bookmarkStart w:id="1510" w:name="_Toc340398323"/>
      <w:bookmarkEnd w:id="1510"/>
      <w:bookmarkStart w:id="1511" w:name="_Toc340397452"/>
      <w:bookmarkEnd w:id="1511"/>
      <w:bookmarkStart w:id="1512" w:name="_Toc340397447"/>
      <w:bookmarkEnd w:id="1512"/>
      <w:bookmarkStart w:id="1513" w:name="_Toc340397513"/>
      <w:bookmarkEnd w:id="1513"/>
      <w:bookmarkStart w:id="1514" w:name="_Toc340398199"/>
      <w:bookmarkEnd w:id="1514"/>
      <w:bookmarkStart w:id="1515" w:name="_Toc340398264"/>
      <w:bookmarkEnd w:id="1515"/>
      <w:bookmarkStart w:id="1516" w:name="_Toc340397924"/>
      <w:bookmarkEnd w:id="1516"/>
      <w:bookmarkStart w:id="1517" w:name="_Toc340397861"/>
      <w:bookmarkEnd w:id="1517"/>
      <w:bookmarkStart w:id="1518" w:name="_Toc340397523"/>
      <w:bookmarkEnd w:id="1518"/>
      <w:bookmarkStart w:id="1519" w:name="_Toc340398308"/>
      <w:bookmarkEnd w:id="1519"/>
      <w:bookmarkStart w:id="1520" w:name="_Toc340397838"/>
      <w:bookmarkEnd w:id="1520"/>
      <w:bookmarkStart w:id="1521" w:name="_Toc340398249"/>
      <w:bookmarkEnd w:id="1521"/>
      <w:bookmarkStart w:id="1522" w:name="_Toc340397835"/>
      <w:bookmarkEnd w:id="1522"/>
      <w:bookmarkStart w:id="1523" w:name="_Toc340398303"/>
      <w:bookmarkEnd w:id="1523"/>
      <w:bookmarkStart w:id="1524" w:name="_Toc340398234"/>
      <w:bookmarkEnd w:id="1524"/>
      <w:bookmarkStart w:id="1525" w:name="_Toc340398304"/>
      <w:bookmarkEnd w:id="1525"/>
      <w:bookmarkStart w:id="1526" w:name="_Toc340398259"/>
      <w:bookmarkEnd w:id="1526"/>
      <w:bookmarkStart w:id="1527" w:name="_Toc340398253"/>
      <w:bookmarkEnd w:id="1527"/>
      <w:bookmarkStart w:id="1528" w:name="_Toc340397887"/>
      <w:bookmarkEnd w:id="1528"/>
      <w:bookmarkStart w:id="1529" w:name="_Toc340397478"/>
      <w:bookmarkEnd w:id="1529"/>
      <w:bookmarkStart w:id="1530" w:name="_Toc340398258"/>
      <w:bookmarkEnd w:id="1530"/>
      <w:bookmarkStart w:id="1531" w:name="_Toc340398279"/>
      <w:bookmarkEnd w:id="1531"/>
      <w:bookmarkStart w:id="1532" w:name="_Toc340397520"/>
      <w:bookmarkEnd w:id="1532"/>
      <w:bookmarkStart w:id="1533" w:name="_Toc340397886"/>
      <w:bookmarkEnd w:id="1533"/>
      <w:bookmarkStart w:id="1534" w:name="_Toc340397853"/>
      <w:bookmarkEnd w:id="1534"/>
      <w:bookmarkStart w:id="1535" w:name="_Toc340398313"/>
      <w:bookmarkEnd w:id="1535"/>
      <w:bookmarkStart w:id="1536" w:name="_Toc340397521"/>
      <w:bookmarkEnd w:id="1536"/>
      <w:bookmarkStart w:id="1537" w:name="_Toc340397925"/>
      <w:bookmarkEnd w:id="1537"/>
      <w:bookmarkStart w:id="1538" w:name="_Toc340397471"/>
      <w:bookmarkEnd w:id="1538"/>
      <w:bookmarkStart w:id="1539" w:name="_Toc340398320"/>
      <w:bookmarkEnd w:id="1539"/>
      <w:bookmarkStart w:id="1540" w:name="_Toc340397929"/>
      <w:bookmarkEnd w:id="1540"/>
      <w:bookmarkStart w:id="1541" w:name="_Toc340397901"/>
      <w:bookmarkEnd w:id="1541"/>
      <w:bookmarkStart w:id="1542" w:name="_Toc340397517"/>
      <w:bookmarkEnd w:id="1542"/>
      <w:bookmarkStart w:id="1543" w:name="_Toc340398300"/>
      <w:bookmarkEnd w:id="1543"/>
      <w:bookmarkStart w:id="1544" w:name="_Toc340397905"/>
      <w:bookmarkEnd w:id="1544"/>
      <w:bookmarkStart w:id="1545" w:name="_Toc340398319"/>
      <w:bookmarkEnd w:id="1545"/>
      <w:bookmarkStart w:id="1546" w:name="_Toc340397918"/>
      <w:bookmarkEnd w:id="1546"/>
      <w:bookmarkStart w:id="1547" w:name="_Toc340397535"/>
      <w:bookmarkEnd w:id="1547"/>
      <w:bookmarkStart w:id="1548" w:name="_Toc340397540"/>
      <w:bookmarkEnd w:id="1548"/>
      <w:bookmarkStart w:id="1549" w:name="_Toc340397922"/>
      <w:bookmarkEnd w:id="1549"/>
      <w:bookmarkStart w:id="1550" w:name="_Toc340398307"/>
      <w:bookmarkEnd w:id="1550"/>
      <w:bookmarkStart w:id="1551" w:name="_Toc340397514"/>
      <w:bookmarkEnd w:id="1551"/>
      <w:bookmarkStart w:id="1552" w:name="_Toc340397906"/>
      <w:bookmarkEnd w:id="1552"/>
      <w:bookmarkStart w:id="1553" w:name="_Toc340397509"/>
      <w:bookmarkEnd w:id="1553"/>
      <w:bookmarkStart w:id="1554" w:name="_Toc340398332"/>
      <w:bookmarkEnd w:id="1554"/>
      <w:bookmarkStart w:id="1555" w:name="_Toc340397457"/>
      <w:bookmarkEnd w:id="1555"/>
      <w:bookmarkStart w:id="1556" w:name="_Toc340398329"/>
      <w:bookmarkEnd w:id="1556"/>
      <w:bookmarkStart w:id="1557" w:name="_Toc340397502"/>
      <w:bookmarkEnd w:id="1557"/>
      <w:bookmarkStart w:id="1558" w:name="_Toc340398305"/>
      <w:bookmarkEnd w:id="1558"/>
      <w:bookmarkStart w:id="1559" w:name="_Toc340398201"/>
      <w:bookmarkEnd w:id="1559"/>
      <w:bookmarkStart w:id="1560" w:name="_Toc340398317"/>
      <w:bookmarkEnd w:id="1560"/>
      <w:bookmarkStart w:id="1561" w:name="_Toc340397518"/>
      <w:bookmarkEnd w:id="1561"/>
      <w:bookmarkStart w:id="1562" w:name="_Toc340397926"/>
      <w:bookmarkEnd w:id="1562"/>
      <w:bookmarkStart w:id="1563" w:name="_Toc340397516"/>
      <w:bookmarkEnd w:id="1563"/>
      <w:bookmarkStart w:id="1564" w:name="_Toc340397860"/>
      <w:bookmarkEnd w:id="1564"/>
      <w:bookmarkStart w:id="1565" w:name="_Toc340397552"/>
      <w:bookmarkEnd w:id="1565"/>
      <w:bookmarkStart w:id="1566" w:name="_Toc340397424"/>
      <w:bookmarkEnd w:id="1566"/>
      <w:bookmarkStart w:id="1567" w:name="_Toc340397484"/>
      <w:bookmarkEnd w:id="1567"/>
      <w:bookmarkStart w:id="1568" w:name="_Toc340397818"/>
      <w:bookmarkEnd w:id="1568"/>
      <w:bookmarkStart w:id="1569" w:name="_Toc340397809"/>
      <w:bookmarkEnd w:id="1569"/>
      <w:bookmarkStart w:id="1570" w:name="_Toc340398219"/>
      <w:bookmarkEnd w:id="1570"/>
      <w:bookmarkStart w:id="1571" w:name="_Toc340397805"/>
      <w:bookmarkEnd w:id="1571"/>
      <w:bookmarkStart w:id="1572" w:name="_Toc340397422"/>
      <w:bookmarkEnd w:id="1572"/>
      <w:bookmarkStart w:id="1573" w:name="_Toc340397528"/>
      <w:bookmarkEnd w:id="1573"/>
      <w:bookmarkStart w:id="1574" w:name="_Toc340397806"/>
      <w:bookmarkEnd w:id="1574"/>
      <w:bookmarkStart w:id="1575" w:name="_Toc340397820"/>
      <w:bookmarkEnd w:id="1575"/>
      <w:bookmarkStart w:id="1576" w:name="_Toc340398203"/>
      <w:bookmarkEnd w:id="1576"/>
      <w:bookmarkStart w:id="1577" w:name="_Toc340397419"/>
      <w:bookmarkEnd w:id="1577"/>
      <w:bookmarkStart w:id="1578" w:name="_Toc340398206"/>
      <w:bookmarkEnd w:id="1578"/>
      <w:bookmarkStart w:id="1579" w:name="_Toc340398216"/>
      <w:bookmarkEnd w:id="1579"/>
      <w:bookmarkStart w:id="1580" w:name="_Toc340397937"/>
      <w:bookmarkEnd w:id="1580"/>
      <w:bookmarkStart w:id="1581" w:name="_Toc340397416"/>
      <w:bookmarkEnd w:id="1581"/>
      <w:bookmarkStart w:id="1582" w:name="_Toc340398221"/>
      <w:bookmarkEnd w:id="1582"/>
      <w:bookmarkStart w:id="1583" w:name="_Toc340398276"/>
      <w:bookmarkEnd w:id="1583"/>
      <w:bookmarkStart w:id="1584" w:name="_Toc340398215"/>
      <w:bookmarkEnd w:id="1584"/>
      <w:bookmarkStart w:id="1585" w:name="_Toc340397821"/>
      <w:bookmarkEnd w:id="1585"/>
      <w:bookmarkStart w:id="1586" w:name="_Toc340397425"/>
      <w:bookmarkEnd w:id="1586"/>
      <w:bookmarkStart w:id="1587" w:name="_Toc340397472"/>
      <w:bookmarkEnd w:id="1587"/>
      <w:bookmarkStart w:id="1588" w:name="_Toc340397439"/>
      <w:bookmarkEnd w:id="1588"/>
      <w:bookmarkStart w:id="1589" w:name="_Toc340397504"/>
      <w:bookmarkEnd w:id="1589"/>
      <w:bookmarkStart w:id="1590" w:name="_Toc340397931"/>
      <w:bookmarkEnd w:id="1590"/>
      <w:bookmarkStart w:id="1591" w:name="_Toc340398202"/>
      <w:bookmarkEnd w:id="1591"/>
      <w:bookmarkStart w:id="1592" w:name="_Toc340397473"/>
      <w:bookmarkEnd w:id="1592"/>
      <w:bookmarkStart w:id="1593" w:name="_Toc340397555"/>
      <w:bookmarkEnd w:id="1593"/>
      <w:bookmarkStart w:id="1594" w:name="_Toc340397490"/>
      <w:bookmarkEnd w:id="1594"/>
      <w:bookmarkStart w:id="1595" w:name="_Toc340398209"/>
      <w:bookmarkEnd w:id="1595"/>
      <w:bookmarkStart w:id="1596" w:name="_Toc340398207"/>
      <w:bookmarkEnd w:id="1596"/>
      <w:bookmarkStart w:id="1597" w:name="_Toc340398208"/>
      <w:bookmarkEnd w:id="1597"/>
      <w:bookmarkStart w:id="1598" w:name="_Toc340397536"/>
      <w:bookmarkEnd w:id="1598"/>
      <w:bookmarkStart w:id="1599" w:name="_Toc340397511"/>
      <w:bookmarkEnd w:id="1599"/>
      <w:bookmarkStart w:id="1600" w:name="_Toc340397917"/>
      <w:bookmarkEnd w:id="1600"/>
      <w:bookmarkStart w:id="1601" w:name="_Toc340397910"/>
      <w:bookmarkEnd w:id="1601"/>
      <w:bookmarkStart w:id="1602" w:name="_Toc340397453"/>
      <w:bookmarkEnd w:id="1602"/>
      <w:bookmarkStart w:id="1603" w:name="_Toc340397903"/>
      <w:bookmarkEnd w:id="1603"/>
      <w:bookmarkStart w:id="1604" w:name="_Toc340398302"/>
      <w:bookmarkEnd w:id="1604"/>
      <w:bookmarkStart w:id="1605" w:name="_Toc340397522"/>
      <w:bookmarkEnd w:id="1605"/>
      <w:bookmarkStart w:id="1606" w:name="_Toc340397548"/>
      <w:bookmarkEnd w:id="1606"/>
      <w:bookmarkStart w:id="1607" w:name="_Toc340398286"/>
      <w:bookmarkEnd w:id="1607"/>
      <w:bookmarkStart w:id="1608" w:name="_Toc340398251"/>
      <w:bookmarkEnd w:id="1608"/>
      <w:bookmarkStart w:id="1609" w:name="_Toc340398309"/>
      <w:bookmarkEnd w:id="1609"/>
      <w:bookmarkStart w:id="1610" w:name="_Toc340398314"/>
      <w:bookmarkEnd w:id="1610"/>
      <w:bookmarkStart w:id="1611" w:name="_Toc340397465"/>
      <w:bookmarkEnd w:id="1611"/>
      <w:bookmarkStart w:id="1612" w:name="_Toc340397854"/>
      <w:bookmarkEnd w:id="1612"/>
      <w:bookmarkStart w:id="1613" w:name="_Toc340397519"/>
      <w:bookmarkEnd w:id="1613"/>
      <w:bookmarkStart w:id="1614" w:name="_Toc340398223"/>
      <w:bookmarkEnd w:id="1614"/>
      <w:bookmarkStart w:id="1615" w:name="_Toc340397814"/>
      <w:bookmarkEnd w:id="1615"/>
      <w:bookmarkStart w:id="1616" w:name="_Toc340397940"/>
      <w:bookmarkEnd w:id="1616"/>
      <w:bookmarkStart w:id="1617" w:name="_Toc340397877"/>
      <w:bookmarkEnd w:id="1617"/>
      <w:bookmarkStart w:id="1618" w:name="_Toc340398205"/>
      <w:bookmarkEnd w:id="1618"/>
      <w:bookmarkStart w:id="1619" w:name="_Toc340398211"/>
      <w:bookmarkEnd w:id="1619"/>
      <w:bookmarkStart w:id="1620" w:name="_Toc340397435"/>
      <w:bookmarkEnd w:id="1620"/>
      <w:bookmarkStart w:id="1621" w:name="_Toc340398224"/>
      <w:bookmarkEnd w:id="1621"/>
      <w:bookmarkStart w:id="1622" w:name="_Toc340398334"/>
      <w:bookmarkEnd w:id="1622"/>
      <w:bookmarkStart w:id="1623" w:name="_Toc340398335"/>
      <w:bookmarkEnd w:id="1623"/>
      <w:bookmarkStart w:id="1624" w:name="_Toc340397897"/>
      <w:bookmarkEnd w:id="1624"/>
      <w:bookmarkStart w:id="1625" w:name="_Toc340397943"/>
      <w:bookmarkEnd w:id="1625"/>
      <w:bookmarkStart w:id="1626" w:name="_Toc340397942"/>
      <w:bookmarkEnd w:id="1626"/>
      <w:bookmarkStart w:id="1627" w:name="_Toc340397888"/>
      <w:bookmarkEnd w:id="1627"/>
      <w:bookmarkStart w:id="1628" w:name="_Toc340397934"/>
      <w:bookmarkEnd w:id="1628"/>
      <w:bookmarkStart w:id="1629" w:name="_Toc227694340"/>
      <w:bookmarkStart w:id="1630" w:name="_Toc207007316"/>
      <w:bookmarkStart w:id="1631" w:name="_Toc335661522"/>
      <w:r>
        <w:rPr>
          <w:rFonts w:ascii="Times New Roman" w:hAnsi="Times New Roman" w:eastAsia="楷体_GB2312"/>
          <w:b/>
          <w:sz w:val="24"/>
        </w:rPr>
        <w:t>赔偿和免责</w:t>
      </w:r>
      <w:bookmarkEnd w:id="1629"/>
      <w:bookmarkEnd w:id="1630"/>
      <w:bookmarkEnd w:id="1631"/>
    </w:p>
    <w:p w14:paraId="7C400530">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违约责任</w:t>
      </w:r>
    </w:p>
    <w:p w14:paraId="3F1403EA">
      <w:pPr>
        <w:tabs>
          <w:tab w:val="left" w:pos="1800"/>
          <w:tab w:val="left" w:pos="1980"/>
        </w:tabs>
        <w:spacing w:before="156" w:beforeLines="50" w:after="156" w:afterLines="50" w:line="360" w:lineRule="auto"/>
        <w:ind w:left="991"/>
        <w:rPr>
          <w:rFonts w:ascii="Times New Roman" w:hAnsi="Times New Roman" w:eastAsia="楷体_GB2312"/>
          <w:sz w:val="24"/>
        </w:rPr>
      </w:pPr>
      <w:r>
        <w:rPr>
          <w:rFonts w:ascii="Times New Roman" w:hAnsi="Times New Roman" w:eastAsia="楷体_GB2312"/>
          <w:sz w:val="24"/>
        </w:rPr>
        <w:t>如“委托人”、“受托人”或“受益人”未履行其在本合同项下的义务，或一方在本合同项下的声明、陈述、保证严重失实或不准确，则视为该方违约。除非本合同另有约定，违约方应向守约方承担继续履行、采取补救措施、赔偿守约方因此遭受的直接实际损失的违约责任。</w:t>
      </w:r>
    </w:p>
    <w:p w14:paraId="7DE6FD0C">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受托人的赔偿责任</w:t>
      </w:r>
    </w:p>
    <w:p w14:paraId="2186BBC8">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“受托人”违反信托目的管理、处分“信托财产”或者管理、处分“信托财产”有重大过失致使“信托财产”遭受损失的，应当对“信托财产”予以赔偿。</w:t>
      </w:r>
    </w:p>
    <w:p w14:paraId="48DEBC66">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受托人”采取本合同约定之外的方式对“信托财产”的运用、处分所产生的收益，属于“信托财产”的一部分；由此给“信托财产”造成损失的，“受托人”应以其固有财产承担赔偿责任，但该等方式经“资产支持证券持有人大会”同意的除外。</w:t>
      </w:r>
    </w:p>
    <w:p w14:paraId="23EE7F9B">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受托人的免责</w:t>
      </w:r>
    </w:p>
    <w:p w14:paraId="0FA21C07">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“受托人”承诺履行并仅履行“法律”</w:t>
      </w:r>
      <w:r>
        <w:rPr>
          <w:rFonts w:hint="eastAsia" w:ascii="Times New Roman" w:hAnsi="Times New Roman" w:eastAsia="楷体_GB2312"/>
          <w:sz w:val="24"/>
        </w:rPr>
        <w:t>规定</w:t>
      </w:r>
      <w:r>
        <w:rPr>
          <w:rFonts w:ascii="Times New Roman" w:hAnsi="Times New Roman" w:eastAsia="楷体_GB2312"/>
          <w:sz w:val="24"/>
        </w:rPr>
        <w:t>和本合同明确约定的职责和义务，“受托人”不承担任何默示的承诺或者义务。</w:t>
      </w:r>
    </w:p>
    <w:p w14:paraId="5919ED4B">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在“受托人”合理审慎地管理信托事务且不存在故意、欺诈或者重大过失的情形下，所发生的全部损失由“信托财产”承担，“受托人”对“信托财产”发生的损失不承担责任。</w:t>
      </w:r>
    </w:p>
    <w:p w14:paraId="52B12B4A">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受托人”完全信赖各专业机构会以专业的谨慎与注意履行其义务，并可以依赖其提供的任何书面的证明、报告或者意见和/或者在相关文件中的陈述与保证的真实、准确与完整，除非存在完全与充分的相反证据。</w:t>
      </w:r>
    </w:p>
    <w:p w14:paraId="71D695F0">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受托人”对“资产支持证券”的本金和收益不作任何保证或担保。“资产支持证券”仅代表“信托受益权”的相应份额。“资产支持证券”不代表“受托人”的负债，“资产支持证券”投资机构的追索权仅限于“信托财产”。“受托人”除了承担在“《信托合同》”等“交易文件”所承诺的义务和责任外，不对“资产支持证券”可能产生的其他损失承担义务和责任。</w:t>
      </w:r>
    </w:p>
    <w:p w14:paraId="50431325">
      <w:pPr>
        <w:numPr>
          <w:ilvl w:val="1"/>
          <w:numId w:val="6"/>
        </w:numPr>
        <w:spacing w:before="156" w:beforeLines="50" w:after="156" w:afterLines="50" w:line="360" w:lineRule="auto"/>
        <w:outlineLvl w:val="1"/>
        <w:rPr>
          <w:rFonts w:ascii="Times New Roman" w:hAnsi="Times New Roman" w:eastAsia="楷体_GB2312"/>
          <w:b/>
          <w:sz w:val="24"/>
        </w:rPr>
      </w:pPr>
      <w:r>
        <w:rPr>
          <w:rFonts w:ascii="Times New Roman" w:hAnsi="Times New Roman" w:eastAsia="楷体_GB2312"/>
          <w:b/>
          <w:sz w:val="24"/>
        </w:rPr>
        <w:t>委托人的免责</w:t>
      </w:r>
    </w:p>
    <w:p w14:paraId="38424F21">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除“中国”“法律”另有规定外，“委托人”承诺履行并仅履行本合同明确约定的职责，“委托人”不承担任何默示的承诺或者义务，并不作出任何进一步的陈述与保证。</w:t>
      </w:r>
    </w:p>
    <w:p w14:paraId="62E272E9">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委托人”对“资产支持证券”的本金和收益不作任何保证或担保。“资产支持证券”仅代表“信托受益权”的相应份额。“资产支持证券”不代表“发起机构”的负债，“资产支持证券”投资机构的追索权仅限于“信托财产”。“发起机构”除了承担“交易文件”中所承诺的义务和责任外，不对“资产支持证券”中可能产生的其他损失承担义务和责任。</w:t>
      </w:r>
    </w:p>
    <w:p w14:paraId="245F5141">
      <w:pPr>
        <w:numPr>
          <w:ilvl w:val="0"/>
          <w:numId w:val="6"/>
        </w:numPr>
        <w:spacing w:before="156" w:beforeLines="50" w:after="156" w:afterLines="50" w:line="360" w:lineRule="auto"/>
        <w:outlineLvl w:val="0"/>
        <w:rPr>
          <w:rFonts w:ascii="Times New Roman" w:hAnsi="Times New Roman" w:eastAsia="楷体_GB2312"/>
          <w:b/>
          <w:sz w:val="24"/>
        </w:rPr>
      </w:pPr>
      <w:bookmarkStart w:id="1632" w:name="_Ref336008034"/>
      <w:bookmarkStart w:id="1633" w:name="_Ref221251623"/>
      <w:bookmarkStart w:id="1634" w:name="_Toc335661523"/>
      <w:bookmarkStart w:id="1635" w:name="_Toc227694341"/>
      <w:bookmarkStart w:id="1636" w:name="_Toc207007317"/>
      <w:r>
        <w:rPr>
          <w:rFonts w:ascii="Times New Roman" w:hAnsi="Times New Roman" w:eastAsia="楷体_GB2312"/>
          <w:b/>
          <w:sz w:val="24"/>
        </w:rPr>
        <w:t>信息披露</w:t>
      </w:r>
      <w:bookmarkEnd w:id="1632"/>
      <w:bookmarkEnd w:id="1633"/>
      <w:bookmarkEnd w:id="1634"/>
      <w:bookmarkEnd w:id="1635"/>
      <w:bookmarkEnd w:id="1636"/>
    </w:p>
    <w:p w14:paraId="77BCE0B5">
      <w:pPr>
        <w:spacing w:line="360" w:lineRule="auto"/>
        <w:ind w:firstLine="482" w:firstLineChars="200"/>
        <w:rPr>
          <w:rFonts w:eastAsia="楷体_GB2312"/>
          <w:b/>
          <w:i/>
          <w:color w:val="FF0000"/>
          <w:sz w:val="24"/>
        </w:rPr>
      </w:pPr>
      <w:r>
        <w:rPr>
          <w:rFonts w:hint="eastAsia" w:eastAsia="楷体_GB2312"/>
          <w:b/>
          <w:i/>
          <w:color w:val="FF0000"/>
          <w:sz w:val="24"/>
        </w:rPr>
        <w:t>【注：对信息披露方式的约定应根据届时适用的信息披露规则进行调整。】</w:t>
      </w:r>
    </w:p>
    <w:p w14:paraId="24058581">
      <w:pPr>
        <w:numPr>
          <w:ilvl w:val="1"/>
          <w:numId w:val="6"/>
        </w:numPr>
        <w:spacing w:before="156" w:beforeLines="50" w:after="156" w:afterLines="50" w:line="360" w:lineRule="auto"/>
        <w:outlineLvl w:val="1"/>
        <w:rPr>
          <w:rFonts w:ascii="Times New Roman" w:hAnsi="Times New Roman" w:eastAsia="楷体_GB2312"/>
          <w:sz w:val="24"/>
        </w:rPr>
      </w:pPr>
      <w:r>
        <w:rPr>
          <w:rFonts w:ascii="Times New Roman" w:hAnsi="Times New Roman" w:eastAsia="楷体_GB2312"/>
          <w:color w:val="000000"/>
          <w:sz w:val="24"/>
        </w:rPr>
        <w:t>“</w:t>
      </w:r>
      <w:r>
        <w:rPr>
          <w:rFonts w:hint="eastAsia" w:ascii="Times New Roman" w:hAnsi="Times New Roman" w:eastAsia="楷体_GB2312"/>
          <w:color w:val="000000"/>
          <w:sz w:val="24"/>
        </w:rPr>
        <w:t>受托人</w:t>
      </w:r>
      <w:r>
        <w:rPr>
          <w:rFonts w:ascii="Times New Roman" w:hAnsi="Times New Roman" w:eastAsia="楷体_GB2312"/>
          <w:color w:val="000000"/>
          <w:sz w:val="24"/>
        </w:rPr>
        <w:t>”</w:t>
      </w:r>
      <w:r>
        <w:rPr>
          <w:rFonts w:hint="eastAsia" w:ascii="Times New Roman" w:hAnsi="Times New Roman" w:eastAsia="楷体_GB2312"/>
          <w:color w:val="000000"/>
          <w:sz w:val="24"/>
        </w:rPr>
        <w:t>应通过</w:t>
      </w:r>
      <w:r>
        <w:rPr>
          <w:rFonts w:ascii="Times New Roman" w:hAnsi="Times New Roman" w:eastAsia="楷体_GB2312"/>
          <w:color w:val="000000"/>
          <w:sz w:val="24"/>
        </w:rPr>
        <w:t>“</w:t>
      </w:r>
      <w:r>
        <w:rPr>
          <w:rFonts w:hint="eastAsia" w:ascii="Times New Roman" w:hAnsi="Times New Roman" w:eastAsia="楷体_GB2312"/>
          <w:color w:val="000000"/>
          <w:sz w:val="24"/>
        </w:rPr>
        <w:t>交易商协会</w:t>
      </w:r>
      <w:r>
        <w:rPr>
          <w:rFonts w:ascii="Times New Roman" w:hAnsi="Times New Roman" w:eastAsia="楷体_GB2312"/>
          <w:color w:val="000000"/>
          <w:sz w:val="24"/>
        </w:rPr>
        <w:t>”</w:t>
      </w:r>
      <w:r>
        <w:rPr>
          <w:rFonts w:hint="eastAsia" w:ascii="Times New Roman" w:hAnsi="Times New Roman" w:eastAsia="楷体_GB2312"/>
          <w:color w:val="000000"/>
          <w:sz w:val="24"/>
        </w:rPr>
        <w:t>综合业务和信息服务平台、中国货币网、中国债券信息网、</w:t>
      </w:r>
      <w:r>
        <w:rPr>
          <w:rFonts w:ascii="Times New Roman" w:hAnsi="Times New Roman" w:eastAsia="楷体_GB2312"/>
          <w:color w:val="000000"/>
          <w:sz w:val="24"/>
        </w:rPr>
        <w:t>“</w:t>
      </w:r>
      <w:r>
        <w:rPr>
          <w:rFonts w:hint="eastAsia" w:ascii="Times New Roman" w:hAnsi="Times New Roman" w:eastAsia="楷体_GB2312"/>
          <w:color w:val="000000"/>
          <w:sz w:val="24"/>
        </w:rPr>
        <w:t>北金所</w:t>
      </w:r>
      <w:r>
        <w:rPr>
          <w:rFonts w:ascii="Times New Roman" w:hAnsi="Times New Roman" w:eastAsia="楷体_GB2312"/>
          <w:color w:val="000000"/>
          <w:sz w:val="24"/>
        </w:rPr>
        <w:t>”</w:t>
      </w:r>
      <w:r>
        <w:rPr>
          <w:rFonts w:hint="eastAsia" w:ascii="Times New Roman" w:hAnsi="Times New Roman" w:eastAsia="楷体_GB2312"/>
          <w:color w:val="000000"/>
          <w:sz w:val="24"/>
        </w:rPr>
        <w:t>官方网站及</w:t>
      </w:r>
      <w:r>
        <w:rPr>
          <w:rFonts w:ascii="Times New Roman" w:hAnsi="Times New Roman" w:eastAsia="楷体_GB2312"/>
          <w:color w:val="000000"/>
          <w:sz w:val="24"/>
        </w:rPr>
        <w:t>“</w:t>
      </w:r>
      <w:r>
        <w:rPr>
          <w:rFonts w:hint="eastAsia" w:ascii="Times New Roman" w:hAnsi="Times New Roman" w:eastAsia="楷体_GB2312"/>
          <w:color w:val="000000"/>
          <w:sz w:val="24"/>
        </w:rPr>
        <w:t>交易商协会</w:t>
      </w:r>
      <w:r>
        <w:rPr>
          <w:rFonts w:ascii="Times New Roman" w:hAnsi="Times New Roman" w:eastAsia="楷体_GB2312"/>
          <w:color w:val="000000"/>
          <w:sz w:val="24"/>
        </w:rPr>
        <w:t>”</w:t>
      </w:r>
      <w:r>
        <w:rPr>
          <w:rFonts w:hint="eastAsia" w:ascii="Times New Roman" w:hAnsi="Times New Roman" w:eastAsia="楷体_GB2312"/>
          <w:color w:val="000000"/>
          <w:sz w:val="24"/>
        </w:rPr>
        <w:t>认可的其他方式进行相关的信息披露。</w:t>
      </w:r>
      <w:r>
        <w:rPr>
          <w:rFonts w:ascii="Times New Roman" w:hAnsi="Times New Roman" w:eastAsia="楷体_GB2312"/>
          <w:color w:val="000000"/>
          <w:sz w:val="24"/>
        </w:rPr>
        <w:t>“</w:t>
      </w:r>
      <w:r>
        <w:rPr>
          <w:rFonts w:hint="eastAsia" w:ascii="Times New Roman" w:hAnsi="Times New Roman" w:eastAsia="楷体_GB2312"/>
          <w:color w:val="000000"/>
          <w:sz w:val="24"/>
        </w:rPr>
        <w:t>受托人</w:t>
      </w:r>
      <w:r>
        <w:rPr>
          <w:rFonts w:ascii="Times New Roman" w:hAnsi="Times New Roman" w:eastAsia="楷体_GB2312"/>
          <w:color w:val="000000"/>
          <w:sz w:val="24"/>
        </w:rPr>
        <w:t>”</w:t>
      </w:r>
      <w:r>
        <w:rPr>
          <w:rFonts w:hint="eastAsia" w:ascii="Times New Roman" w:hAnsi="Times New Roman" w:eastAsia="楷体_GB2312"/>
          <w:color w:val="000000"/>
          <w:sz w:val="24"/>
        </w:rPr>
        <w:t>应保证信息披露及时、真实、准确和完整，不得有虚假记载、误导性陈述和重大遗漏。</w:t>
      </w:r>
    </w:p>
    <w:p w14:paraId="02DF622F">
      <w:pPr>
        <w:numPr>
          <w:ilvl w:val="1"/>
          <w:numId w:val="6"/>
        </w:numPr>
        <w:spacing w:before="156" w:beforeLines="50" w:after="156" w:afterLines="50" w:line="360" w:lineRule="auto"/>
        <w:outlineLvl w:val="1"/>
        <w:rPr>
          <w:rFonts w:ascii="Times New Roman" w:hAnsi="Times New Roman" w:eastAsia="楷体_GB2312"/>
          <w:sz w:val="24"/>
        </w:rPr>
      </w:pPr>
      <w:r>
        <w:rPr>
          <w:rFonts w:ascii="Times New Roman" w:hAnsi="Times New Roman" w:eastAsia="楷体_GB2312"/>
          <w:sz w:val="24"/>
        </w:rPr>
        <w:t>“委托人”和接受“受托人”委托提供相关服务的机构应按照本合同和相关合同的约定，及时向“受托人”提供有关信息报告，并保证其向“受托人”所提供信息真实、准确和完整。</w:t>
      </w:r>
    </w:p>
    <w:p w14:paraId="4EC66104">
      <w:pPr>
        <w:numPr>
          <w:ilvl w:val="1"/>
          <w:numId w:val="6"/>
        </w:numPr>
        <w:spacing w:before="156" w:beforeLines="50" w:after="156" w:afterLines="50" w:line="360" w:lineRule="auto"/>
        <w:outlineLvl w:val="1"/>
        <w:rPr>
          <w:rFonts w:ascii="Times New Roman" w:hAnsi="Times New Roman" w:eastAsia="楷体_GB2312"/>
          <w:sz w:val="24"/>
        </w:rPr>
      </w:pPr>
      <w:r>
        <w:rPr>
          <w:rFonts w:ascii="Times New Roman" w:hAnsi="Times New Roman" w:eastAsia="楷体_GB2312"/>
          <w:sz w:val="24"/>
        </w:rPr>
        <w:t>“委托人”、“受托人”等相关知情人在信息披露前不得泄露拟披露的信息。</w:t>
      </w:r>
    </w:p>
    <w:p w14:paraId="2B84BC49">
      <w:pPr>
        <w:numPr>
          <w:ilvl w:val="1"/>
          <w:numId w:val="6"/>
        </w:numPr>
        <w:spacing w:before="156" w:beforeLines="50" w:after="156" w:afterLines="50" w:line="360" w:lineRule="auto"/>
        <w:outlineLvl w:val="1"/>
        <w:rPr>
          <w:rFonts w:ascii="Times New Roman" w:hAnsi="Times New Roman" w:eastAsia="楷体_GB2312"/>
          <w:sz w:val="24"/>
        </w:rPr>
      </w:pPr>
      <w:r>
        <w:rPr>
          <w:rFonts w:ascii="Times New Roman" w:hAnsi="Times New Roman" w:eastAsia="楷体_GB2312"/>
          <w:sz w:val="24"/>
        </w:rPr>
        <w:t>“受托人”应于每个“受托机构报告日”向</w:t>
      </w:r>
      <w:r>
        <w:rPr>
          <w:rFonts w:ascii="Times New Roman" w:hAnsi="Times New Roman" w:eastAsia="楷体_GB2312"/>
          <w:color w:val="000000"/>
          <w:sz w:val="24"/>
        </w:rPr>
        <w:t>“交易商协会”综合业务和信息服务平台、中国货币网、中国债券信息网、“北金所”官方网站及“交易商协会”认可的其他方式</w:t>
      </w:r>
      <w:r>
        <w:rPr>
          <w:rFonts w:ascii="Times New Roman" w:hAnsi="Times New Roman" w:eastAsia="楷体_GB2312"/>
          <w:sz w:val="24"/>
        </w:rPr>
        <w:t>提供“受托机构月度报告”（格式见本合同</w:t>
      </w:r>
      <w:r>
        <w:rPr>
          <w:rFonts w:ascii="Times New Roman" w:hAnsi="Times New Roman" w:eastAsia="楷体_GB2312"/>
          <w:b/>
          <w:i/>
          <w:sz w:val="24"/>
        </w:rPr>
        <w:t>附件十</w:t>
      </w:r>
      <w:r>
        <w:rPr>
          <w:rFonts w:ascii="Times New Roman" w:hAnsi="Times New Roman" w:eastAsia="楷体_GB2312"/>
          <w:sz w:val="24"/>
        </w:rPr>
        <w:t>），反映当期“资产支持证券”对应的“信托财产”状况和各级别“资产支持证券”对应的本息支付等相关信息。</w:t>
      </w:r>
    </w:p>
    <w:p w14:paraId="1E38013B">
      <w:pPr>
        <w:numPr>
          <w:ilvl w:val="1"/>
          <w:numId w:val="6"/>
        </w:numPr>
        <w:spacing w:before="156" w:beforeLines="50" w:after="156" w:afterLines="50" w:line="360" w:lineRule="auto"/>
        <w:outlineLvl w:val="1"/>
        <w:rPr>
          <w:rFonts w:ascii="Times New Roman" w:hAnsi="Times New Roman" w:eastAsia="楷体_GB2312"/>
          <w:sz w:val="24"/>
        </w:rPr>
      </w:pPr>
      <w:r>
        <w:rPr>
          <w:rFonts w:ascii="Times New Roman" w:hAnsi="Times New Roman" w:eastAsia="楷体_GB2312"/>
          <w:sz w:val="24"/>
        </w:rPr>
        <w:t>在每年4月30日前，“受托人”公布经“审计师”审计的上年度的</w:t>
      </w:r>
      <w:r>
        <w:rPr>
          <w:rFonts w:ascii="Times New Roman" w:hAnsi="Times New Roman" w:eastAsia="楷体_GB2312"/>
          <w:color w:val="000000"/>
          <w:sz w:val="24"/>
        </w:rPr>
        <w:t>“受托机构年度报告”</w:t>
      </w:r>
      <w:r>
        <w:rPr>
          <w:rFonts w:ascii="Times New Roman" w:hAnsi="Times New Roman" w:eastAsia="楷体_GB2312"/>
          <w:sz w:val="24"/>
        </w:rPr>
        <w:t>（格式见本合同</w:t>
      </w:r>
      <w:r>
        <w:rPr>
          <w:rFonts w:ascii="Times New Roman" w:hAnsi="Times New Roman" w:eastAsia="楷体_GB2312"/>
          <w:b/>
          <w:i/>
          <w:sz w:val="24"/>
        </w:rPr>
        <w:t>附件十</w:t>
      </w:r>
      <w:r>
        <w:rPr>
          <w:rFonts w:ascii="Times New Roman" w:hAnsi="Times New Roman" w:eastAsia="楷体_GB2312"/>
          <w:sz w:val="24"/>
        </w:rPr>
        <w:t>）。为出具审计报告，“审计师”有权查阅、审计“受托人”、“贷款服务机构”、“资金保管机构”的相关账目、文件等与“信托”相关的资料；“受托人”、“贷款服务机构”、“资金保管机构”应</w:t>
      </w:r>
      <w:r>
        <w:rPr>
          <w:rFonts w:hint="eastAsia" w:ascii="Times New Roman" w:hAnsi="Times New Roman" w:eastAsia="楷体_GB2312"/>
          <w:sz w:val="24"/>
        </w:rPr>
        <w:t>给予</w:t>
      </w:r>
      <w:r>
        <w:rPr>
          <w:rFonts w:ascii="Times New Roman" w:hAnsi="Times New Roman" w:eastAsia="楷体_GB2312"/>
          <w:sz w:val="24"/>
        </w:rPr>
        <w:t>配合。</w:t>
      </w:r>
      <w:r>
        <w:rPr>
          <w:rFonts w:ascii="Times New Roman" w:hAnsi="Times New Roman" w:eastAsia="楷体_GB2312"/>
          <w:color w:val="000000"/>
          <w:sz w:val="24"/>
        </w:rPr>
        <w:t>若自“信托生效日”起至当年年末不足二个月的，“受托人”可以不编制该年度的“受托机构年度报告”。</w:t>
      </w:r>
    </w:p>
    <w:p w14:paraId="6593FD90">
      <w:pPr>
        <w:numPr>
          <w:ilvl w:val="1"/>
          <w:numId w:val="6"/>
        </w:numPr>
        <w:spacing w:before="156" w:beforeLines="50" w:after="156" w:afterLines="50" w:line="360" w:lineRule="auto"/>
        <w:outlineLvl w:val="1"/>
        <w:rPr>
          <w:rFonts w:ascii="Times New Roman" w:hAnsi="Times New Roman" w:eastAsia="楷体_GB2312"/>
          <w:sz w:val="24"/>
        </w:rPr>
      </w:pPr>
      <w:r>
        <w:rPr>
          <w:rFonts w:ascii="Times New Roman" w:hAnsi="Times New Roman" w:eastAsia="楷体_GB2312"/>
          <w:sz w:val="24"/>
        </w:rPr>
        <w:t>“受托人”应与“评级机构”就“优先级资产支持证券”跟踪评级的有关安排作出约定，并应于“优先级资产支持证券”存续期限内每年的7月31日前向“资产支持证券持有人”披露上年度的跟踪评级报告。“受托人”应于每个“受托机构报告日”向“评级机构”提供“受托机构月度报告”，如发生“特别决议事项”或“临时性重大事件”时，“受托人”应在知道或者应当知道事件发生后的</w:t>
      </w:r>
      <w:r>
        <w:rPr>
          <w:rFonts w:ascii="Times New Roman" w:hAnsi="Times New Roman" w:eastAsia="楷体_GB2312"/>
          <w:b/>
          <w:sz w:val="24"/>
        </w:rPr>
        <w:t>【】</w:t>
      </w:r>
      <w:r>
        <w:rPr>
          <w:rFonts w:ascii="Times New Roman" w:hAnsi="Times New Roman" w:eastAsia="楷体_GB2312"/>
          <w:sz w:val="24"/>
        </w:rPr>
        <w:t>个“工作日”内通知“评级机构”。前述“临时性重大事件”是指：</w:t>
      </w:r>
    </w:p>
    <w:p w14:paraId="797361F0">
      <w:pPr>
        <w:numPr>
          <w:ilvl w:val="0"/>
          <w:numId w:val="40"/>
        </w:numPr>
        <w:spacing w:before="156" w:beforeLines="50" w:after="156" w:afterLines="50" w:line="360" w:lineRule="auto"/>
        <w:ind w:left="1433" w:hanging="440"/>
        <w:rPr>
          <w:rFonts w:ascii="Times New Roman" w:hAnsi="Times New Roman" w:eastAsia="楷体_GB2312"/>
          <w:sz w:val="24"/>
        </w:rPr>
      </w:pPr>
      <w:r>
        <w:rPr>
          <w:rFonts w:ascii="Times New Roman" w:hAnsi="Times New Roman" w:eastAsia="楷体_GB2312"/>
          <w:sz w:val="24"/>
        </w:rPr>
        <w:t>作为“信托财产”的“资产”质量发生重大变化，可能无法按时向投资机构支付“资产支持证券”本息的；</w:t>
      </w:r>
    </w:p>
    <w:p w14:paraId="5A813237">
      <w:pPr>
        <w:numPr>
          <w:ilvl w:val="0"/>
          <w:numId w:val="40"/>
        </w:numPr>
        <w:spacing w:before="156" w:beforeLines="50" w:after="156" w:afterLines="50" w:line="360" w:lineRule="auto"/>
        <w:ind w:left="1433" w:hanging="440"/>
        <w:rPr>
          <w:rFonts w:ascii="Times New Roman" w:hAnsi="Times New Roman" w:eastAsia="楷体_GB2312"/>
          <w:sz w:val="24"/>
        </w:rPr>
      </w:pPr>
      <w:r>
        <w:rPr>
          <w:rFonts w:ascii="Times New Roman" w:hAnsi="Times New Roman" w:eastAsia="楷体_GB2312"/>
          <w:sz w:val="24"/>
        </w:rPr>
        <w:t>“受托机构”、“贷款服务机构”、“资金保管机构”等“信托”的服务机构违反有关法律、行政法规、部门规章的规定或者“交易文件”约定，可能影响“资产支持证券”的投资价值的；</w:t>
      </w:r>
    </w:p>
    <w:p w14:paraId="297055E7">
      <w:pPr>
        <w:numPr>
          <w:ilvl w:val="0"/>
          <w:numId w:val="40"/>
        </w:numPr>
        <w:spacing w:before="156" w:beforeLines="50" w:after="156" w:afterLines="50" w:line="360" w:lineRule="auto"/>
        <w:ind w:left="1433" w:hanging="440"/>
        <w:rPr>
          <w:rFonts w:ascii="Times New Roman" w:hAnsi="Times New Roman" w:eastAsia="楷体_GB2312"/>
          <w:sz w:val="24"/>
        </w:rPr>
      </w:pPr>
      <w:r>
        <w:rPr>
          <w:rFonts w:ascii="Times New Roman" w:hAnsi="Times New Roman" w:eastAsia="楷体_GB2312"/>
          <w:sz w:val="24"/>
        </w:rPr>
        <w:t>外部信用增级机构（如有）发生变更；</w:t>
      </w:r>
    </w:p>
    <w:p w14:paraId="559C444D">
      <w:pPr>
        <w:numPr>
          <w:ilvl w:val="0"/>
          <w:numId w:val="40"/>
        </w:numPr>
        <w:spacing w:before="156" w:beforeLines="50" w:after="156" w:afterLines="50" w:line="360" w:lineRule="auto"/>
        <w:ind w:left="1433" w:hanging="440"/>
        <w:rPr>
          <w:rFonts w:ascii="Times New Roman" w:hAnsi="Times New Roman" w:eastAsia="楷体_GB2312"/>
          <w:sz w:val="24"/>
        </w:rPr>
      </w:pPr>
      <w:r>
        <w:rPr>
          <w:rFonts w:ascii="Times New Roman" w:hAnsi="Times New Roman" w:eastAsia="楷体_GB2312"/>
          <w:sz w:val="24"/>
        </w:rPr>
        <w:t>“资产支持证券”的信用评级发生变化；</w:t>
      </w:r>
    </w:p>
    <w:p w14:paraId="66F51F74">
      <w:pPr>
        <w:numPr>
          <w:ilvl w:val="0"/>
          <w:numId w:val="40"/>
        </w:numPr>
        <w:spacing w:before="156" w:beforeLines="50" w:after="156" w:afterLines="50" w:line="360" w:lineRule="auto"/>
        <w:ind w:left="1433" w:hanging="440"/>
        <w:rPr>
          <w:rFonts w:ascii="Times New Roman" w:hAnsi="Times New Roman" w:eastAsia="楷体_GB2312"/>
          <w:sz w:val="24"/>
        </w:rPr>
      </w:pPr>
      <w:r>
        <w:rPr>
          <w:rFonts w:ascii="Times New Roman" w:hAnsi="Times New Roman" w:eastAsia="楷体_GB2312"/>
          <w:sz w:val="24"/>
        </w:rPr>
        <w:t>“受托人”和其他为证券化提供服务的机构或者“信托财产”涉及法律纠纷，可能影响“资产支持证券”按时分配本息的；</w:t>
      </w:r>
    </w:p>
    <w:p w14:paraId="64C48B0B">
      <w:pPr>
        <w:numPr>
          <w:ilvl w:val="0"/>
          <w:numId w:val="40"/>
        </w:numPr>
        <w:spacing w:before="156" w:beforeLines="50" w:after="156" w:afterLines="50" w:line="360" w:lineRule="auto"/>
        <w:ind w:left="1433" w:hanging="440"/>
        <w:rPr>
          <w:rFonts w:ascii="Times New Roman" w:hAnsi="Times New Roman" w:eastAsia="楷体_GB2312"/>
          <w:sz w:val="24"/>
        </w:rPr>
      </w:pPr>
      <w:r>
        <w:rPr>
          <w:rFonts w:ascii="Times New Roman" w:hAnsi="Times New Roman" w:eastAsia="楷体_GB2312"/>
          <w:sz w:val="24"/>
        </w:rPr>
        <w:t>“受托机构”、“发起机构”或其他为证券化提供服务的机构的经营情况发生重大变化，或者作出减资、合并、分立、解散、申请破产等决定，可能降低其从事证券化业务水平，对“资产支持证券持有人”利益造成严重不利影响的；</w:t>
      </w:r>
    </w:p>
    <w:p w14:paraId="63170008">
      <w:pPr>
        <w:numPr>
          <w:ilvl w:val="0"/>
          <w:numId w:val="40"/>
        </w:numPr>
        <w:spacing w:before="156" w:beforeLines="50" w:after="156" w:afterLines="50" w:line="360" w:lineRule="auto"/>
        <w:ind w:left="1433" w:hanging="440"/>
        <w:rPr>
          <w:rFonts w:ascii="Times New Roman" w:hAnsi="Times New Roman" w:eastAsia="楷体_GB2312"/>
          <w:sz w:val="24"/>
        </w:rPr>
      </w:pPr>
      <w:r>
        <w:rPr>
          <w:rFonts w:ascii="Times New Roman" w:hAnsi="Times New Roman" w:eastAsia="楷体_GB2312"/>
          <w:sz w:val="24"/>
        </w:rPr>
        <w:t>发生“清仓回购”；</w:t>
      </w:r>
    </w:p>
    <w:p w14:paraId="04692759">
      <w:pPr>
        <w:numPr>
          <w:ilvl w:val="0"/>
          <w:numId w:val="40"/>
        </w:numPr>
        <w:spacing w:before="156" w:beforeLines="50" w:after="156" w:afterLines="50" w:line="360" w:lineRule="auto"/>
        <w:ind w:left="1433" w:hanging="440"/>
        <w:rPr>
          <w:rFonts w:ascii="Times New Roman" w:hAnsi="Times New Roman" w:eastAsia="楷体_GB2312"/>
          <w:sz w:val="24"/>
        </w:rPr>
      </w:pPr>
      <w:r>
        <w:rPr>
          <w:rFonts w:ascii="Times New Roman" w:hAnsi="Times New Roman" w:eastAsia="楷体_GB2312"/>
          <w:sz w:val="24"/>
        </w:rPr>
        <w:t>发生“加速清偿事件”、“违约事件”、“权利完善事件”、“受托人解任事件”、“贷款服务机构解任事件”、“资金保管机构解任事件”等情形的；</w:t>
      </w:r>
    </w:p>
    <w:p w14:paraId="51173F26">
      <w:pPr>
        <w:numPr>
          <w:ilvl w:val="0"/>
          <w:numId w:val="40"/>
        </w:numPr>
        <w:spacing w:before="156" w:beforeLines="50" w:after="156" w:afterLines="50" w:line="360" w:lineRule="auto"/>
        <w:ind w:left="1433" w:hanging="440"/>
        <w:rPr>
          <w:rFonts w:ascii="Times New Roman" w:hAnsi="Times New Roman" w:eastAsia="楷体_GB2312"/>
          <w:sz w:val="24"/>
        </w:rPr>
      </w:pPr>
      <w:r>
        <w:rPr>
          <w:rFonts w:ascii="Times New Roman" w:hAnsi="Times New Roman" w:eastAsia="楷体_GB2312"/>
          <w:sz w:val="24"/>
        </w:rPr>
        <w:t>可能导致信贷资产证券化业务活动产生重大损失或可能影响“资产支持证券”本息兑付的其他重大事项；</w:t>
      </w:r>
    </w:p>
    <w:p w14:paraId="03DE6907">
      <w:pPr>
        <w:numPr>
          <w:ilvl w:val="0"/>
          <w:numId w:val="40"/>
        </w:numPr>
        <w:spacing w:before="156" w:beforeLines="50" w:after="156" w:afterLines="50" w:line="360" w:lineRule="auto"/>
        <w:ind w:left="1433" w:hanging="440"/>
        <w:rPr>
          <w:rFonts w:ascii="Times New Roman" w:hAnsi="Times New Roman" w:eastAsia="楷体_GB2312"/>
          <w:sz w:val="24"/>
        </w:rPr>
      </w:pPr>
      <w:r>
        <w:rPr>
          <w:rFonts w:ascii="Times New Roman" w:hAnsi="Times New Roman" w:eastAsia="楷体_GB2312"/>
          <w:sz w:val="24"/>
        </w:rPr>
        <w:t>“中国”“法律”规定的其他应公告的重大事项。</w:t>
      </w:r>
    </w:p>
    <w:p w14:paraId="066FEB51">
      <w:pPr>
        <w:numPr>
          <w:ilvl w:val="1"/>
          <w:numId w:val="6"/>
        </w:numPr>
        <w:spacing w:before="156" w:beforeLines="50" w:after="156" w:afterLines="50" w:line="360" w:lineRule="auto"/>
        <w:outlineLvl w:val="1"/>
        <w:rPr>
          <w:rFonts w:ascii="Times New Roman" w:hAnsi="Times New Roman" w:eastAsia="楷体_GB2312"/>
        </w:rPr>
      </w:pPr>
      <w:r>
        <w:rPr>
          <w:rFonts w:hint="eastAsia" w:ascii="Times New Roman" w:hAnsi="Times New Roman" w:eastAsia="楷体_GB2312"/>
          <w:sz w:val="24"/>
        </w:rPr>
        <w:t>在发生对</w:t>
      </w:r>
      <w:r>
        <w:rPr>
          <w:rFonts w:ascii="Times New Roman" w:hAnsi="Times New Roman" w:eastAsia="楷体_GB2312"/>
          <w:sz w:val="24"/>
        </w:rPr>
        <w:t>“</w:t>
      </w:r>
      <w:r>
        <w:rPr>
          <w:rFonts w:hint="eastAsia" w:ascii="Times New Roman" w:hAnsi="Times New Roman" w:eastAsia="楷体_GB2312"/>
          <w:sz w:val="24"/>
        </w:rPr>
        <w:t>资产支持证券</w:t>
      </w:r>
      <w:r>
        <w:rPr>
          <w:rFonts w:ascii="Times New Roman" w:hAnsi="Times New Roman" w:eastAsia="楷体_GB2312"/>
          <w:sz w:val="24"/>
        </w:rPr>
        <w:t>”</w:t>
      </w:r>
      <w:r>
        <w:rPr>
          <w:rFonts w:hint="eastAsia" w:ascii="Times New Roman" w:hAnsi="Times New Roman" w:eastAsia="楷体_GB2312"/>
          <w:sz w:val="24"/>
        </w:rPr>
        <w:t>投资价值具有实质性影响的临时性重大事件（</w:t>
      </w:r>
      <w:r>
        <w:rPr>
          <w:rFonts w:ascii="Times New Roman" w:hAnsi="Times New Roman" w:eastAsia="楷体_GB2312"/>
          <w:sz w:val="24"/>
        </w:rPr>
        <w:t>“</w:t>
      </w:r>
      <w:r>
        <w:rPr>
          <w:rFonts w:hint="eastAsia" w:ascii="Times New Roman" w:hAnsi="Times New Roman" w:eastAsia="楷体_GB2312"/>
          <w:sz w:val="24"/>
        </w:rPr>
        <w:t>重大事件</w:t>
      </w:r>
      <w:r>
        <w:rPr>
          <w:rFonts w:ascii="Times New Roman" w:hAnsi="Times New Roman" w:eastAsia="楷体_GB2312"/>
          <w:sz w:val="24"/>
        </w:rPr>
        <w:t>”</w:t>
      </w:r>
      <w:r>
        <w:rPr>
          <w:rFonts w:hint="eastAsia" w:ascii="Times New Roman" w:hAnsi="Times New Roman" w:eastAsia="楷体_GB2312"/>
          <w:sz w:val="24"/>
        </w:rPr>
        <w:t>）时，</w:t>
      </w:r>
      <w:r>
        <w:rPr>
          <w:rFonts w:ascii="Times New Roman" w:hAnsi="Times New Roman" w:eastAsia="楷体_GB2312"/>
          <w:sz w:val="24"/>
        </w:rPr>
        <w:t>“</w:t>
      </w:r>
      <w:r>
        <w:rPr>
          <w:rFonts w:hint="eastAsia" w:ascii="Times New Roman" w:hAnsi="Times New Roman" w:eastAsia="楷体_GB2312"/>
          <w:sz w:val="24"/>
        </w:rPr>
        <w:t>受托人</w:t>
      </w:r>
      <w:r>
        <w:rPr>
          <w:rFonts w:ascii="Times New Roman" w:hAnsi="Times New Roman" w:eastAsia="楷体_GB2312"/>
          <w:sz w:val="24"/>
        </w:rPr>
        <w:t>”</w:t>
      </w:r>
      <w:r>
        <w:rPr>
          <w:rFonts w:hint="eastAsia" w:ascii="Times New Roman" w:hAnsi="Times New Roman" w:eastAsia="楷体_GB2312"/>
          <w:sz w:val="24"/>
        </w:rPr>
        <w:t>应在知道或者应当知道</w:t>
      </w:r>
      <w:r>
        <w:rPr>
          <w:rFonts w:ascii="Times New Roman" w:hAnsi="Times New Roman" w:eastAsia="楷体_GB2312"/>
          <w:sz w:val="24"/>
        </w:rPr>
        <w:t>“</w:t>
      </w:r>
      <w:r>
        <w:rPr>
          <w:rFonts w:hint="eastAsia" w:ascii="Times New Roman" w:hAnsi="Times New Roman" w:eastAsia="楷体_GB2312"/>
          <w:sz w:val="24"/>
        </w:rPr>
        <w:t>重大事件</w:t>
      </w:r>
      <w:r>
        <w:rPr>
          <w:rFonts w:ascii="Times New Roman" w:hAnsi="Times New Roman" w:eastAsia="楷体_GB2312"/>
          <w:sz w:val="24"/>
        </w:rPr>
        <w:t>”</w:t>
      </w:r>
      <w:r>
        <w:rPr>
          <w:rFonts w:hint="eastAsia" w:ascii="Times New Roman" w:hAnsi="Times New Roman" w:eastAsia="楷体_GB2312"/>
          <w:sz w:val="24"/>
        </w:rPr>
        <w:t>发生后的</w:t>
      </w:r>
      <w:r>
        <w:rPr>
          <w:rFonts w:hint="eastAsia" w:ascii="Times New Roman" w:hAnsi="Times New Roman" w:eastAsia="楷体_GB2312"/>
          <w:b/>
          <w:sz w:val="24"/>
        </w:rPr>
        <w:t>【】</w:t>
      </w:r>
      <w:r>
        <w:rPr>
          <w:rFonts w:hint="eastAsia" w:ascii="Times New Roman" w:hAnsi="Times New Roman" w:eastAsia="楷体_GB2312"/>
          <w:sz w:val="24"/>
        </w:rPr>
        <w:t>个</w:t>
      </w:r>
      <w:r>
        <w:rPr>
          <w:rFonts w:ascii="Times New Roman" w:hAnsi="Times New Roman" w:eastAsia="楷体_GB2312"/>
          <w:sz w:val="24"/>
        </w:rPr>
        <w:t>“</w:t>
      </w:r>
      <w:r>
        <w:rPr>
          <w:rFonts w:hint="eastAsia" w:ascii="Times New Roman" w:hAnsi="Times New Roman" w:eastAsia="楷体_GB2312"/>
          <w:sz w:val="24"/>
        </w:rPr>
        <w:t>工作日</w:t>
      </w:r>
      <w:r>
        <w:rPr>
          <w:rFonts w:ascii="Times New Roman" w:hAnsi="Times New Roman" w:eastAsia="楷体_GB2312"/>
          <w:sz w:val="24"/>
        </w:rPr>
        <w:t>”</w:t>
      </w:r>
      <w:r>
        <w:rPr>
          <w:rFonts w:hint="eastAsia" w:ascii="Times New Roman" w:hAnsi="Times New Roman" w:eastAsia="楷体_GB2312"/>
          <w:sz w:val="24"/>
        </w:rPr>
        <w:t>内按照</w:t>
      </w:r>
      <w:r>
        <w:rPr>
          <w:rFonts w:ascii="Times New Roman" w:hAnsi="Times New Roman" w:eastAsia="楷体_GB2312"/>
          <w:sz w:val="24"/>
        </w:rPr>
        <w:t>“</w:t>
      </w:r>
      <w:r>
        <w:rPr>
          <w:rFonts w:hint="eastAsia" w:ascii="Times New Roman" w:hAnsi="Times New Roman" w:eastAsia="楷体_GB2312"/>
          <w:sz w:val="24"/>
        </w:rPr>
        <w:t>中国</w:t>
      </w:r>
      <w:r>
        <w:rPr>
          <w:rFonts w:ascii="Times New Roman" w:hAnsi="Times New Roman" w:eastAsia="楷体_GB2312"/>
          <w:sz w:val="24"/>
        </w:rPr>
        <w:t>”“</w:t>
      </w:r>
      <w:r>
        <w:rPr>
          <w:rFonts w:hint="eastAsia" w:ascii="Times New Roman" w:hAnsi="Times New Roman" w:eastAsia="楷体_GB2312"/>
          <w:sz w:val="24"/>
        </w:rPr>
        <w:t>法律</w:t>
      </w:r>
      <w:r>
        <w:rPr>
          <w:rFonts w:ascii="Times New Roman" w:hAnsi="Times New Roman" w:eastAsia="楷体_GB2312"/>
          <w:sz w:val="24"/>
        </w:rPr>
        <w:t>”</w:t>
      </w:r>
      <w:r>
        <w:rPr>
          <w:rFonts w:hint="eastAsia" w:ascii="Times New Roman" w:hAnsi="Times New Roman" w:eastAsia="楷体_GB2312"/>
          <w:sz w:val="24"/>
        </w:rPr>
        <w:t>规定的要求披露相关信息，并向</w:t>
      </w:r>
      <w:r>
        <w:rPr>
          <w:rFonts w:ascii="Times New Roman" w:hAnsi="Times New Roman" w:eastAsia="楷体_GB2312"/>
          <w:sz w:val="24"/>
        </w:rPr>
        <w:t>“</w:t>
      </w:r>
      <w:r>
        <w:rPr>
          <w:rFonts w:hint="eastAsia" w:ascii="Times New Roman" w:hAnsi="Times New Roman" w:eastAsia="楷体_GB2312"/>
          <w:sz w:val="24"/>
        </w:rPr>
        <w:t>人民银行</w:t>
      </w:r>
      <w:r>
        <w:rPr>
          <w:rFonts w:ascii="Times New Roman" w:hAnsi="Times New Roman" w:eastAsia="楷体_GB2312"/>
          <w:sz w:val="24"/>
        </w:rPr>
        <w:t>”</w:t>
      </w:r>
      <w:r>
        <w:rPr>
          <w:rFonts w:hint="eastAsia" w:ascii="Times New Roman" w:hAnsi="Times New Roman" w:eastAsia="楷体_GB2312"/>
          <w:sz w:val="24"/>
        </w:rPr>
        <w:t>、</w:t>
      </w:r>
      <w:r>
        <w:rPr>
          <w:rFonts w:ascii="Times New Roman" w:hAnsi="Times New Roman" w:eastAsia="楷体_GB2312"/>
          <w:sz w:val="24"/>
        </w:rPr>
        <w:t>“</w:t>
      </w:r>
      <w:r>
        <w:rPr>
          <w:rFonts w:hint="eastAsia" w:ascii="Times New Roman" w:hAnsi="Times New Roman" w:eastAsia="楷体_GB2312"/>
          <w:sz w:val="24"/>
        </w:rPr>
        <w:t>金融监管总局</w:t>
      </w:r>
      <w:r>
        <w:rPr>
          <w:rFonts w:ascii="Times New Roman" w:hAnsi="Times New Roman" w:eastAsia="楷体_GB2312"/>
          <w:sz w:val="24"/>
        </w:rPr>
        <w:t>”</w:t>
      </w:r>
      <w:r>
        <w:rPr>
          <w:rFonts w:hint="eastAsia" w:ascii="Times New Roman" w:hAnsi="Times New Roman" w:eastAsia="楷体_GB2312"/>
          <w:sz w:val="24"/>
        </w:rPr>
        <w:t>和</w:t>
      </w:r>
      <w:r>
        <w:rPr>
          <w:rFonts w:ascii="Times New Roman" w:hAnsi="Times New Roman" w:eastAsia="楷体_GB2312"/>
          <w:sz w:val="24"/>
        </w:rPr>
        <w:t>“</w:t>
      </w:r>
      <w:r>
        <w:rPr>
          <w:rFonts w:hint="eastAsia" w:ascii="Times New Roman" w:hAnsi="Times New Roman" w:eastAsia="楷体_GB2312"/>
          <w:sz w:val="24"/>
        </w:rPr>
        <w:t>交易商协会</w:t>
      </w:r>
      <w:r>
        <w:rPr>
          <w:rFonts w:ascii="Times New Roman" w:hAnsi="Times New Roman" w:eastAsia="楷体_GB2312"/>
          <w:sz w:val="24"/>
        </w:rPr>
        <w:t>”</w:t>
      </w:r>
      <w:r>
        <w:rPr>
          <w:rFonts w:hint="eastAsia" w:ascii="Times New Roman" w:hAnsi="Times New Roman" w:eastAsia="楷体_GB2312"/>
          <w:sz w:val="24"/>
        </w:rPr>
        <w:t>提交</w:t>
      </w:r>
      <w:r>
        <w:rPr>
          <w:rFonts w:ascii="Times New Roman" w:hAnsi="Times New Roman" w:eastAsia="楷体_GB2312"/>
          <w:sz w:val="24"/>
        </w:rPr>
        <w:t>“</w:t>
      </w:r>
      <w:r>
        <w:rPr>
          <w:rFonts w:hint="eastAsia" w:ascii="Times New Roman" w:hAnsi="Times New Roman" w:eastAsia="楷体_GB2312"/>
          <w:sz w:val="24"/>
        </w:rPr>
        <w:t>重大事件报告书</w:t>
      </w:r>
      <w:r>
        <w:rPr>
          <w:rFonts w:ascii="Times New Roman" w:hAnsi="Times New Roman" w:eastAsia="楷体_GB2312"/>
          <w:sz w:val="24"/>
        </w:rPr>
        <w:t>”</w:t>
      </w:r>
      <w:r>
        <w:rPr>
          <w:rFonts w:hint="eastAsia" w:ascii="Times New Roman" w:hAnsi="Times New Roman" w:eastAsia="楷体_GB2312"/>
          <w:sz w:val="24"/>
        </w:rPr>
        <w:t>。</w:t>
      </w:r>
      <w:r>
        <w:rPr>
          <w:rFonts w:ascii="Times New Roman" w:hAnsi="Times New Roman" w:eastAsia="楷体_GB2312"/>
          <w:sz w:val="24"/>
        </w:rPr>
        <w:t>“</w:t>
      </w:r>
      <w:r>
        <w:rPr>
          <w:rFonts w:hint="eastAsia" w:ascii="Times New Roman" w:hAnsi="Times New Roman" w:eastAsia="楷体_GB2312"/>
          <w:sz w:val="24"/>
        </w:rPr>
        <w:t>受托人</w:t>
      </w:r>
      <w:r>
        <w:rPr>
          <w:rFonts w:ascii="Times New Roman" w:hAnsi="Times New Roman" w:eastAsia="楷体_GB2312"/>
          <w:sz w:val="24"/>
        </w:rPr>
        <w:t>”</w:t>
      </w:r>
      <w:r>
        <w:rPr>
          <w:rFonts w:hint="eastAsia" w:ascii="Times New Roman" w:hAnsi="Times New Roman" w:eastAsia="楷体_GB2312"/>
          <w:sz w:val="24"/>
        </w:rPr>
        <w:t>披露</w:t>
      </w:r>
      <w:r>
        <w:rPr>
          <w:rFonts w:ascii="Times New Roman" w:hAnsi="Times New Roman" w:eastAsia="楷体_GB2312"/>
          <w:sz w:val="24"/>
        </w:rPr>
        <w:t>“</w:t>
      </w:r>
      <w:r>
        <w:rPr>
          <w:rFonts w:hint="eastAsia" w:ascii="Times New Roman" w:hAnsi="Times New Roman" w:eastAsia="楷体_GB2312"/>
          <w:sz w:val="24"/>
        </w:rPr>
        <w:t>重大事件</w:t>
      </w:r>
      <w:r>
        <w:rPr>
          <w:rFonts w:ascii="Times New Roman" w:hAnsi="Times New Roman" w:eastAsia="楷体_GB2312"/>
          <w:sz w:val="24"/>
        </w:rPr>
        <w:t>”</w:t>
      </w:r>
      <w:r>
        <w:rPr>
          <w:rFonts w:hint="eastAsia" w:ascii="Times New Roman" w:hAnsi="Times New Roman" w:eastAsia="楷体_GB2312"/>
          <w:sz w:val="24"/>
        </w:rPr>
        <w:t>后，已披露的</w:t>
      </w:r>
      <w:r>
        <w:rPr>
          <w:rFonts w:ascii="Times New Roman" w:hAnsi="Times New Roman" w:eastAsia="楷体_GB2312"/>
          <w:sz w:val="24"/>
        </w:rPr>
        <w:t>“</w:t>
      </w:r>
      <w:r>
        <w:rPr>
          <w:rFonts w:hint="eastAsia" w:ascii="Times New Roman" w:hAnsi="Times New Roman" w:eastAsia="楷体_GB2312"/>
          <w:sz w:val="24"/>
        </w:rPr>
        <w:t>重大事件</w:t>
      </w:r>
      <w:r>
        <w:rPr>
          <w:rFonts w:ascii="Times New Roman" w:hAnsi="Times New Roman" w:eastAsia="楷体_GB2312"/>
          <w:sz w:val="24"/>
        </w:rPr>
        <w:t>”</w:t>
      </w:r>
      <w:r>
        <w:rPr>
          <w:rFonts w:hint="eastAsia" w:ascii="Times New Roman" w:hAnsi="Times New Roman" w:eastAsia="楷体_GB2312"/>
          <w:sz w:val="24"/>
        </w:rPr>
        <w:t>出现可能对</w:t>
      </w:r>
      <w:r>
        <w:rPr>
          <w:rFonts w:ascii="Times New Roman" w:hAnsi="Times New Roman" w:eastAsia="楷体_GB2312"/>
          <w:sz w:val="24"/>
        </w:rPr>
        <w:t>“</w:t>
      </w:r>
      <w:r>
        <w:rPr>
          <w:rFonts w:hint="eastAsia" w:ascii="Times New Roman" w:hAnsi="Times New Roman" w:eastAsia="楷体_GB2312"/>
          <w:sz w:val="24"/>
        </w:rPr>
        <w:t>资产支持证券</w:t>
      </w:r>
      <w:r>
        <w:rPr>
          <w:rFonts w:ascii="Times New Roman" w:hAnsi="Times New Roman" w:eastAsia="楷体_GB2312"/>
          <w:sz w:val="24"/>
        </w:rPr>
        <w:t>”</w:t>
      </w:r>
      <w:r>
        <w:rPr>
          <w:rFonts w:hint="eastAsia" w:ascii="Times New Roman" w:hAnsi="Times New Roman" w:eastAsia="楷体_GB2312"/>
          <w:sz w:val="24"/>
        </w:rPr>
        <w:t>的投资价值产生较大影响的进展或者变化的，应当在上述进展或者变化出现之日起</w:t>
      </w:r>
      <w:r>
        <w:rPr>
          <w:rFonts w:hint="eastAsia" w:ascii="Times New Roman" w:hAnsi="Times New Roman" w:eastAsia="楷体_GB2312"/>
          <w:b/>
          <w:sz w:val="24"/>
        </w:rPr>
        <w:t>【】</w:t>
      </w:r>
      <w:r>
        <w:rPr>
          <w:rFonts w:hint="eastAsia" w:ascii="Times New Roman" w:hAnsi="Times New Roman" w:eastAsia="楷体_GB2312"/>
          <w:sz w:val="24"/>
        </w:rPr>
        <w:t>个</w:t>
      </w:r>
      <w:r>
        <w:rPr>
          <w:rFonts w:ascii="Times New Roman" w:hAnsi="Times New Roman" w:eastAsia="楷体_GB2312"/>
          <w:sz w:val="24"/>
        </w:rPr>
        <w:t>“</w:t>
      </w:r>
      <w:r>
        <w:rPr>
          <w:rFonts w:hint="eastAsia" w:ascii="Times New Roman" w:hAnsi="Times New Roman" w:eastAsia="楷体_GB2312"/>
          <w:sz w:val="24"/>
        </w:rPr>
        <w:t>工作日</w:t>
      </w:r>
      <w:r>
        <w:rPr>
          <w:rFonts w:ascii="Times New Roman" w:hAnsi="Times New Roman" w:eastAsia="楷体_GB2312"/>
          <w:sz w:val="24"/>
        </w:rPr>
        <w:t>”</w:t>
      </w:r>
      <w:r>
        <w:rPr>
          <w:rFonts w:hint="eastAsia" w:ascii="Times New Roman" w:hAnsi="Times New Roman" w:eastAsia="楷体_GB2312"/>
          <w:sz w:val="24"/>
        </w:rPr>
        <w:t>内披露进展或者变化情况。本条所称</w:t>
      </w:r>
      <w:r>
        <w:rPr>
          <w:rFonts w:ascii="Times New Roman" w:hAnsi="Times New Roman" w:eastAsia="楷体_GB2312"/>
          <w:sz w:val="24"/>
        </w:rPr>
        <w:t>“</w:t>
      </w:r>
      <w:r>
        <w:rPr>
          <w:rFonts w:hint="eastAsia" w:ascii="Times New Roman" w:hAnsi="Times New Roman" w:eastAsia="楷体_GB2312"/>
          <w:sz w:val="24"/>
        </w:rPr>
        <w:t>重大事件</w:t>
      </w:r>
      <w:r>
        <w:rPr>
          <w:rFonts w:ascii="Times New Roman" w:hAnsi="Times New Roman" w:eastAsia="楷体_GB2312"/>
          <w:sz w:val="24"/>
        </w:rPr>
        <w:t>”</w:t>
      </w:r>
      <w:r>
        <w:rPr>
          <w:rFonts w:hint="eastAsia" w:ascii="Times New Roman" w:hAnsi="Times New Roman" w:eastAsia="楷体_GB2312"/>
          <w:sz w:val="24"/>
        </w:rPr>
        <w:t>包括但不限于以下情形：</w:t>
      </w:r>
      <w:r>
        <w:rPr>
          <w:rFonts w:ascii="Times New Roman" w:hAnsi="Times New Roman" w:eastAsia="楷体_GB2312"/>
          <w:sz w:val="24"/>
        </w:rPr>
        <w:t>“</w:t>
      </w:r>
      <w:r>
        <w:rPr>
          <w:rFonts w:hint="eastAsia" w:ascii="Times New Roman" w:hAnsi="Times New Roman" w:eastAsia="楷体_GB2312"/>
          <w:sz w:val="24"/>
        </w:rPr>
        <w:t>临时性重大事件</w:t>
      </w:r>
      <w:r>
        <w:rPr>
          <w:rFonts w:ascii="Times New Roman" w:hAnsi="Times New Roman" w:eastAsia="楷体_GB2312"/>
          <w:sz w:val="24"/>
        </w:rPr>
        <w:t>”</w:t>
      </w:r>
      <w:r>
        <w:rPr>
          <w:rFonts w:hint="eastAsia" w:ascii="Times New Roman" w:hAnsi="Times New Roman" w:eastAsia="楷体_GB2312"/>
          <w:sz w:val="24"/>
        </w:rPr>
        <w:t>、</w:t>
      </w:r>
      <w:r>
        <w:rPr>
          <w:rFonts w:ascii="Times New Roman" w:hAnsi="Times New Roman" w:eastAsia="楷体_GB2312"/>
          <w:sz w:val="24"/>
        </w:rPr>
        <w:t>“</w:t>
      </w:r>
      <w:r>
        <w:rPr>
          <w:rFonts w:hint="eastAsia" w:ascii="Times New Roman" w:hAnsi="Times New Roman" w:eastAsia="楷体_GB2312"/>
          <w:sz w:val="24"/>
        </w:rPr>
        <w:t>加速清偿事件</w:t>
      </w:r>
      <w:r>
        <w:rPr>
          <w:rFonts w:ascii="Times New Roman" w:hAnsi="Times New Roman" w:eastAsia="楷体_GB2312"/>
          <w:sz w:val="24"/>
        </w:rPr>
        <w:t>”</w:t>
      </w:r>
      <w:r>
        <w:rPr>
          <w:rFonts w:hint="eastAsia" w:ascii="Times New Roman" w:hAnsi="Times New Roman" w:eastAsia="楷体_GB2312"/>
          <w:sz w:val="24"/>
        </w:rPr>
        <w:t>、</w:t>
      </w:r>
      <w:r>
        <w:rPr>
          <w:rFonts w:ascii="Times New Roman" w:hAnsi="Times New Roman" w:eastAsia="楷体_GB2312"/>
          <w:sz w:val="24"/>
        </w:rPr>
        <w:t>“</w:t>
      </w:r>
      <w:r>
        <w:rPr>
          <w:rFonts w:hint="eastAsia" w:ascii="Times New Roman" w:hAnsi="Times New Roman" w:eastAsia="楷体_GB2312"/>
          <w:sz w:val="24"/>
        </w:rPr>
        <w:t>违约事件</w:t>
      </w:r>
      <w:r>
        <w:rPr>
          <w:rFonts w:ascii="Times New Roman" w:hAnsi="Times New Roman" w:eastAsia="楷体_GB2312"/>
          <w:sz w:val="24"/>
        </w:rPr>
        <w:t>”</w:t>
      </w:r>
      <w:r>
        <w:rPr>
          <w:rFonts w:hint="eastAsia" w:ascii="Times New Roman" w:hAnsi="Times New Roman" w:eastAsia="楷体_GB2312"/>
          <w:sz w:val="24"/>
        </w:rPr>
        <w:t>、</w:t>
      </w:r>
      <w:r>
        <w:rPr>
          <w:rFonts w:ascii="Times New Roman" w:hAnsi="Times New Roman" w:eastAsia="楷体_GB2312"/>
          <w:sz w:val="24"/>
        </w:rPr>
        <w:t>“</w:t>
      </w:r>
      <w:r>
        <w:rPr>
          <w:rFonts w:hint="eastAsia" w:ascii="Times New Roman" w:hAnsi="Times New Roman" w:eastAsia="楷体_GB2312"/>
          <w:sz w:val="24"/>
        </w:rPr>
        <w:t>权利完善事件</w:t>
      </w:r>
      <w:r>
        <w:rPr>
          <w:rFonts w:ascii="Times New Roman" w:hAnsi="Times New Roman" w:eastAsia="楷体_GB2312"/>
          <w:sz w:val="24"/>
        </w:rPr>
        <w:t>”</w:t>
      </w:r>
      <w:r>
        <w:rPr>
          <w:rFonts w:hint="eastAsia" w:ascii="Times New Roman" w:hAnsi="Times New Roman" w:eastAsia="楷体_GB2312"/>
          <w:sz w:val="24"/>
        </w:rPr>
        <w:t>、发生</w:t>
      </w:r>
      <w:r>
        <w:rPr>
          <w:rFonts w:ascii="Times New Roman" w:hAnsi="Times New Roman" w:eastAsia="楷体_GB2312"/>
          <w:sz w:val="24"/>
        </w:rPr>
        <w:t>“</w:t>
      </w:r>
      <w:r>
        <w:rPr>
          <w:rFonts w:hint="eastAsia" w:ascii="Times New Roman" w:hAnsi="Times New Roman" w:eastAsia="楷体_GB2312"/>
          <w:sz w:val="24"/>
        </w:rPr>
        <w:t>不合格资产</w:t>
      </w:r>
      <w:r>
        <w:rPr>
          <w:rFonts w:ascii="Times New Roman" w:hAnsi="Times New Roman" w:eastAsia="楷体_GB2312"/>
          <w:sz w:val="24"/>
        </w:rPr>
        <w:t>”“</w:t>
      </w:r>
      <w:r>
        <w:rPr>
          <w:rFonts w:hint="eastAsia" w:ascii="Times New Roman" w:hAnsi="Times New Roman" w:eastAsia="楷体_GB2312"/>
          <w:sz w:val="24"/>
        </w:rPr>
        <w:t>赎回</w:t>
      </w:r>
      <w:r>
        <w:rPr>
          <w:rFonts w:ascii="Times New Roman" w:hAnsi="Times New Roman" w:eastAsia="楷体_GB2312"/>
          <w:sz w:val="24"/>
        </w:rPr>
        <w:t>”</w:t>
      </w:r>
      <w:r>
        <w:rPr>
          <w:rFonts w:hint="eastAsia" w:ascii="Times New Roman" w:hAnsi="Times New Roman" w:eastAsia="楷体_GB2312"/>
          <w:sz w:val="24"/>
        </w:rPr>
        <w:t>、</w:t>
      </w:r>
      <w:r>
        <w:rPr>
          <w:rFonts w:ascii="Times New Roman" w:hAnsi="Times New Roman" w:eastAsia="楷体_GB2312"/>
          <w:sz w:val="24"/>
        </w:rPr>
        <w:t>“</w:t>
      </w:r>
      <w:r>
        <w:rPr>
          <w:rFonts w:hint="eastAsia" w:ascii="Times New Roman" w:hAnsi="Times New Roman" w:eastAsia="楷体_GB2312"/>
          <w:sz w:val="24"/>
        </w:rPr>
        <w:t>清仓回购</w:t>
      </w:r>
      <w:r>
        <w:rPr>
          <w:rFonts w:ascii="Times New Roman" w:hAnsi="Times New Roman" w:eastAsia="楷体_GB2312"/>
          <w:sz w:val="24"/>
        </w:rPr>
        <w:t>”</w:t>
      </w:r>
      <w:r>
        <w:rPr>
          <w:rFonts w:hint="eastAsia" w:ascii="Times New Roman" w:hAnsi="Times New Roman" w:eastAsia="楷体_GB2312"/>
          <w:sz w:val="24"/>
        </w:rPr>
        <w:t>、</w:t>
      </w:r>
      <w:r>
        <w:rPr>
          <w:rFonts w:ascii="Times New Roman" w:hAnsi="Times New Roman" w:eastAsia="楷体_GB2312"/>
          <w:sz w:val="24"/>
        </w:rPr>
        <w:t>“</w:t>
      </w:r>
      <w:r>
        <w:rPr>
          <w:rFonts w:hint="eastAsia" w:ascii="Times New Roman" w:hAnsi="Times New Roman" w:eastAsia="楷体_GB2312"/>
          <w:sz w:val="24"/>
        </w:rPr>
        <w:t>信托</w:t>
      </w:r>
      <w:r>
        <w:rPr>
          <w:rFonts w:ascii="Times New Roman" w:hAnsi="Times New Roman" w:eastAsia="楷体_GB2312"/>
          <w:sz w:val="24"/>
        </w:rPr>
        <w:t>”</w:t>
      </w:r>
      <w:r>
        <w:rPr>
          <w:rFonts w:hint="eastAsia" w:ascii="Times New Roman" w:hAnsi="Times New Roman" w:eastAsia="楷体_GB2312"/>
          <w:sz w:val="24"/>
        </w:rPr>
        <w:t>终止事件、</w:t>
      </w:r>
      <w:r>
        <w:rPr>
          <w:rFonts w:ascii="Times New Roman" w:hAnsi="Times New Roman" w:eastAsia="楷体_GB2312"/>
          <w:sz w:val="24"/>
        </w:rPr>
        <w:t>“</w:t>
      </w:r>
      <w:r>
        <w:rPr>
          <w:rFonts w:hint="eastAsia" w:ascii="Times New Roman" w:hAnsi="Times New Roman" w:eastAsia="楷体_GB2312"/>
          <w:sz w:val="24"/>
        </w:rPr>
        <w:t>受托人解任事件</w:t>
      </w:r>
      <w:r>
        <w:rPr>
          <w:rFonts w:ascii="Times New Roman" w:hAnsi="Times New Roman" w:eastAsia="楷体_GB2312"/>
          <w:sz w:val="24"/>
        </w:rPr>
        <w:t>”</w:t>
      </w:r>
      <w:r>
        <w:rPr>
          <w:rFonts w:hint="eastAsia" w:ascii="Times New Roman" w:hAnsi="Times New Roman" w:eastAsia="楷体_GB2312"/>
          <w:sz w:val="24"/>
        </w:rPr>
        <w:t>、</w:t>
      </w:r>
      <w:r>
        <w:rPr>
          <w:rFonts w:ascii="Times New Roman" w:hAnsi="Times New Roman" w:eastAsia="楷体_GB2312"/>
          <w:sz w:val="24"/>
        </w:rPr>
        <w:t>“</w:t>
      </w:r>
      <w:r>
        <w:rPr>
          <w:rFonts w:hint="eastAsia" w:ascii="Times New Roman" w:hAnsi="Times New Roman" w:eastAsia="楷体_GB2312"/>
          <w:sz w:val="24"/>
        </w:rPr>
        <w:t>贷款服务机构解任事件</w:t>
      </w:r>
      <w:r>
        <w:rPr>
          <w:rFonts w:ascii="Times New Roman" w:hAnsi="Times New Roman" w:eastAsia="楷体_GB2312"/>
          <w:sz w:val="24"/>
        </w:rPr>
        <w:t>”</w:t>
      </w:r>
      <w:r>
        <w:rPr>
          <w:rFonts w:hint="eastAsia" w:ascii="Times New Roman" w:hAnsi="Times New Roman" w:eastAsia="楷体_GB2312"/>
          <w:sz w:val="24"/>
        </w:rPr>
        <w:t>、</w:t>
      </w:r>
      <w:r>
        <w:rPr>
          <w:rFonts w:ascii="Times New Roman" w:hAnsi="Times New Roman" w:eastAsia="楷体_GB2312"/>
          <w:sz w:val="24"/>
        </w:rPr>
        <w:t>“</w:t>
      </w:r>
      <w:r>
        <w:rPr>
          <w:rFonts w:hint="eastAsia" w:ascii="Times New Roman" w:hAnsi="Times New Roman" w:eastAsia="楷体_GB2312"/>
          <w:sz w:val="24"/>
        </w:rPr>
        <w:t>资金保管机构解任事件</w:t>
      </w:r>
      <w:r>
        <w:rPr>
          <w:rFonts w:ascii="Times New Roman" w:hAnsi="Times New Roman" w:eastAsia="楷体_GB2312"/>
          <w:sz w:val="24"/>
        </w:rPr>
        <w:t>”</w:t>
      </w:r>
      <w:r>
        <w:rPr>
          <w:rFonts w:hint="eastAsia" w:ascii="Times New Roman" w:hAnsi="Times New Roman" w:eastAsia="楷体_GB2312"/>
          <w:sz w:val="24"/>
        </w:rPr>
        <w:t>、</w:t>
      </w:r>
      <w:r>
        <w:rPr>
          <w:rFonts w:ascii="Times New Roman" w:hAnsi="Times New Roman" w:eastAsia="楷体_GB2312"/>
          <w:sz w:val="24"/>
        </w:rPr>
        <w:t>“</w:t>
      </w:r>
      <w:r>
        <w:rPr>
          <w:rFonts w:hint="eastAsia" w:ascii="Times New Roman" w:hAnsi="Times New Roman" w:eastAsia="楷体_GB2312"/>
          <w:sz w:val="24"/>
        </w:rPr>
        <w:t>资产支持证券持有人大会</w:t>
      </w:r>
      <w:r>
        <w:rPr>
          <w:rFonts w:ascii="Times New Roman" w:hAnsi="Times New Roman" w:eastAsia="楷体_GB2312"/>
          <w:sz w:val="24"/>
        </w:rPr>
        <w:t>”</w:t>
      </w:r>
      <w:r>
        <w:rPr>
          <w:rFonts w:hint="eastAsia" w:ascii="Times New Roman" w:hAnsi="Times New Roman" w:eastAsia="楷体_GB2312"/>
          <w:sz w:val="24"/>
        </w:rPr>
        <w:t>决议等</w:t>
      </w:r>
      <w:r>
        <w:rPr>
          <w:rFonts w:ascii="Times New Roman" w:hAnsi="Times New Roman" w:eastAsia="楷体_GB2312"/>
          <w:sz w:val="24"/>
        </w:rPr>
        <w:t>“</w:t>
      </w:r>
      <w:r>
        <w:rPr>
          <w:rFonts w:hint="eastAsia" w:ascii="Times New Roman" w:hAnsi="Times New Roman" w:eastAsia="楷体_GB2312"/>
          <w:sz w:val="24"/>
        </w:rPr>
        <w:t>中国</w:t>
      </w:r>
      <w:r>
        <w:rPr>
          <w:rFonts w:ascii="Times New Roman" w:hAnsi="Times New Roman" w:eastAsia="楷体_GB2312"/>
          <w:sz w:val="24"/>
        </w:rPr>
        <w:t>”“</w:t>
      </w:r>
      <w:r>
        <w:rPr>
          <w:rFonts w:hint="eastAsia" w:ascii="Times New Roman" w:hAnsi="Times New Roman" w:eastAsia="楷体_GB2312"/>
          <w:sz w:val="24"/>
        </w:rPr>
        <w:t>法律</w:t>
      </w:r>
      <w:r>
        <w:rPr>
          <w:rFonts w:ascii="Times New Roman" w:hAnsi="Times New Roman" w:eastAsia="楷体_GB2312"/>
          <w:sz w:val="24"/>
        </w:rPr>
        <w:t>”</w:t>
      </w:r>
      <w:r>
        <w:rPr>
          <w:rFonts w:hint="eastAsia" w:ascii="Times New Roman" w:hAnsi="Times New Roman" w:eastAsia="楷体_GB2312"/>
          <w:sz w:val="24"/>
        </w:rPr>
        <w:t>规定的重大事件。</w:t>
      </w:r>
    </w:p>
    <w:p w14:paraId="0EA337A1">
      <w:pPr>
        <w:numPr>
          <w:ilvl w:val="0"/>
          <w:numId w:val="6"/>
        </w:numPr>
        <w:spacing w:before="156" w:beforeLines="50" w:after="156" w:afterLines="50" w:line="360" w:lineRule="auto"/>
        <w:outlineLvl w:val="0"/>
        <w:rPr>
          <w:rFonts w:ascii="Times New Roman" w:hAnsi="Times New Roman" w:eastAsia="楷体_GB2312"/>
          <w:b/>
          <w:sz w:val="24"/>
        </w:rPr>
      </w:pPr>
      <w:bookmarkStart w:id="1637" w:name="_Toc207007318"/>
      <w:bookmarkStart w:id="1638" w:name="_Toc227694342"/>
      <w:bookmarkStart w:id="1639" w:name="_Ref335930496"/>
      <w:bookmarkStart w:id="1640" w:name="_Ref347325014"/>
      <w:bookmarkStart w:id="1641" w:name="_Toc335661524"/>
      <w:r>
        <w:rPr>
          <w:rFonts w:ascii="Times New Roman" w:hAnsi="Times New Roman" w:eastAsia="楷体_GB2312"/>
          <w:b/>
          <w:sz w:val="24"/>
        </w:rPr>
        <w:t>保密条款</w:t>
      </w:r>
      <w:bookmarkEnd w:id="1637"/>
      <w:bookmarkEnd w:id="1638"/>
      <w:bookmarkEnd w:id="1639"/>
      <w:bookmarkEnd w:id="1640"/>
      <w:bookmarkEnd w:id="1641"/>
    </w:p>
    <w:p w14:paraId="2699CD9E">
      <w:pPr>
        <w:numPr>
          <w:ilvl w:val="1"/>
          <w:numId w:val="6"/>
        </w:numPr>
        <w:spacing w:before="156" w:beforeLines="50" w:after="156" w:afterLines="50" w:line="360" w:lineRule="auto"/>
        <w:rPr>
          <w:rFonts w:ascii="Times New Roman" w:hAnsi="Times New Roman" w:eastAsia="楷体_GB2312"/>
          <w:sz w:val="24"/>
        </w:rPr>
      </w:pPr>
      <w:bookmarkStart w:id="1642" w:name="_Ref306888644"/>
      <w:bookmarkStart w:id="1643" w:name="_Toc110153480"/>
      <w:bookmarkStart w:id="1644" w:name="_Ref107894767"/>
      <w:bookmarkStart w:id="1645" w:name="_Toc201569468"/>
      <w:r>
        <w:rPr>
          <w:rFonts w:ascii="Times New Roman" w:hAnsi="Times New Roman" w:eastAsia="楷体_GB2312"/>
          <w:sz w:val="24"/>
        </w:rPr>
        <w:t>一方对与其他方的业务、财务或其他事项相关的具有保密性质的信息，以及因履行本合同或其他“交易文件”而获得的任何涉及“信托财产”或“借款人”的信息（包括但不限于“资产清单”、“账户记录”和“数据文件夹”中的“借款人”相关信息）（以下简称“保密信息”）负有保密义务。除其他有关保密协议另有约定外，接受或处理保密信息的一方应当：</w:t>
      </w:r>
      <w:bookmarkEnd w:id="1642"/>
    </w:p>
    <w:p w14:paraId="7571EDBA">
      <w:pPr>
        <w:numPr>
          <w:ilvl w:val="0"/>
          <w:numId w:val="41"/>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对保密信息予以严格保密；</w:t>
      </w:r>
    </w:p>
    <w:p w14:paraId="2EB9F5C7">
      <w:pPr>
        <w:numPr>
          <w:ilvl w:val="0"/>
          <w:numId w:val="41"/>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未经披露方的书面同意，只能将所收到的保密信息用于本合同约定的目的，而不得用于其他任何目的或用途；</w:t>
      </w:r>
    </w:p>
    <w:p w14:paraId="2F169ADA">
      <w:pPr>
        <w:numPr>
          <w:ilvl w:val="0"/>
          <w:numId w:val="41"/>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除对履行其工作职责而需知道保密信息的本方雇员外，不向任何人或实体披露上述保密信息。</w:t>
      </w:r>
    </w:p>
    <w:p w14:paraId="113F6295">
      <w:pPr>
        <w:numPr>
          <w:ilvl w:val="1"/>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第</w:t>
      </w:r>
      <w:r>
        <w:rPr>
          <w:rFonts w:ascii="Times New Roman" w:hAnsi="Times New Roman" w:eastAsia="楷体_GB2312"/>
          <w:sz w:val="24"/>
        </w:rPr>
        <w:fldChar w:fldCharType="begin"/>
      </w:r>
      <w:r>
        <w:rPr>
          <w:rFonts w:ascii="Times New Roman" w:hAnsi="Times New Roman" w:eastAsia="楷体_GB2312"/>
          <w:sz w:val="24"/>
        </w:rPr>
        <w:instrText xml:space="preserve"> REF _Ref306888644 \r \h  \* MERGEFORMAT </w:instrText>
      </w:r>
      <w:r>
        <w:rPr>
          <w:rFonts w:ascii="Times New Roman" w:hAnsi="Times New Roman" w:eastAsia="楷体_GB2312"/>
          <w:sz w:val="24"/>
        </w:rPr>
        <w:fldChar w:fldCharType="separate"/>
      </w:r>
      <w:r>
        <w:rPr>
          <w:rFonts w:ascii="Times New Roman" w:hAnsi="Times New Roman" w:eastAsia="楷体_GB2312"/>
          <w:sz w:val="24"/>
        </w:rPr>
        <w:t>22.1</w:t>
      </w:r>
      <w:r>
        <w:rPr>
          <w:rFonts w:ascii="Times New Roman" w:hAnsi="Times New Roman" w:eastAsia="楷体_GB2312"/>
          <w:sz w:val="24"/>
        </w:rPr>
        <w:fldChar w:fldCharType="end"/>
      </w:r>
      <w:r>
        <w:rPr>
          <w:rFonts w:ascii="Times New Roman" w:hAnsi="Times New Roman" w:eastAsia="楷体_GB2312"/>
          <w:sz w:val="24"/>
        </w:rPr>
        <w:t>款的约定不适用于下述资料及其相关信息：</w:t>
      </w:r>
    </w:p>
    <w:p w14:paraId="47B5A93F">
      <w:pPr>
        <w:numPr>
          <w:ilvl w:val="0"/>
          <w:numId w:val="42"/>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有相关书面记录能够证明在披露方向接受方披露之前已为接受方所知的资料及其相关信息；</w:t>
      </w:r>
    </w:p>
    <w:p w14:paraId="1F2ABBCB">
      <w:pPr>
        <w:numPr>
          <w:ilvl w:val="0"/>
          <w:numId w:val="42"/>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非因一方的违约行为而成为公共信息的信息；</w:t>
      </w:r>
    </w:p>
    <w:p w14:paraId="45730F6C">
      <w:pPr>
        <w:numPr>
          <w:ilvl w:val="0"/>
          <w:numId w:val="42"/>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接受方从对该等资料和信息不承担任何保密义务的第三方获得的资料和信息；</w:t>
      </w:r>
    </w:p>
    <w:p w14:paraId="6A23704F">
      <w:pPr>
        <w:numPr>
          <w:ilvl w:val="0"/>
          <w:numId w:val="42"/>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因履行信息披露义务而已向公众公布的文件中包含的资料和信息。</w:t>
      </w:r>
    </w:p>
    <w:p w14:paraId="6C986AE0">
      <w:pPr>
        <w:numPr>
          <w:ilvl w:val="1"/>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第</w:t>
      </w:r>
      <w:r>
        <w:rPr>
          <w:rFonts w:ascii="Times New Roman" w:hAnsi="Times New Roman" w:eastAsia="楷体_GB2312"/>
          <w:sz w:val="24"/>
        </w:rPr>
        <w:fldChar w:fldCharType="begin"/>
      </w:r>
      <w:r>
        <w:rPr>
          <w:rFonts w:ascii="Times New Roman" w:hAnsi="Times New Roman" w:eastAsia="楷体_GB2312"/>
          <w:sz w:val="24"/>
        </w:rPr>
        <w:instrText xml:space="preserve"> REF _Ref306888644 \r \h  \* MERGEFORMAT </w:instrText>
      </w:r>
      <w:r>
        <w:rPr>
          <w:rFonts w:ascii="Times New Roman" w:hAnsi="Times New Roman" w:eastAsia="楷体_GB2312"/>
          <w:sz w:val="24"/>
        </w:rPr>
        <w:fldChar w:fldCharType="separate"/>
      </w:r>
      <w:r>
        <w:rPr>
          <w:rFonts w:ascii="Times New Roman" w:hAnsi="Times New Roman" w:eastAsia="楷体_GB2312"/>
          <w:sz w:val="24"/>
        </w:rPr>
        <w:t>22.1</w:t>
      </w:r>
      <w:r>
        <w:rPr>
          <w:rFonts w:ascii="Times New Roman" w:hAnsi="Times New Roman" w:eastAsia="楷体_GB2312"/>
          <w:sz w:val="24"/>
        </w:rPr>
        <w:fldChar w:fldCharType="end"/>
      </w:r>
      <w:r>
        <w:rPr>
          <w:rFonts w:ascii="Times New Roman" w:hAnsi="Times New Roman" w:eastAsia="楷体_GB2312"/>
          <w:sz w:val="24"/>
        </w:rPr>
        <w:t>款的约定不适用于一方的以下信息披露：</w:t>
      </w:r>
    </w:p>
    <w:p w14:paraId="2E490DF6">
      <w:pPr>
        <w:numPr>
          <w:ilvl w:val="0"/>
          <w:numId w:val="43"/>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该方根据任何应适用的“法律”、有管辖权的“政府机构”、“监管</w:t>
      </w:r>
      <w:r>
        <w:rPr>
          <w:rFonts w:hint="eastAsia" w:ascii="Times New Roman" w:hAnsi="Times New Roman" w:eastAsia="楷体_GB2312"/>
          <w:sz w:val="24"/>
        </w:rPr>
        <w:t>部门</w:t>
      </w:r>
      <w:r>
        <w:rPr>
          <w:rFonts w:ascii="Times New Roman" w:hAnsi="Times New Roman" w:eastAsia="楷体_GB2312"/>
          <w:sz w:val="24"/>
        </w:rPr>
        <w:t>”、税收主管机关或相关交易市场管理机构的指示或要求（无论是否具有法律强制力）而披露的信息；</w:t>
      </w:r>
    </w:p>
    <w:p w14:paraId="43A95023">
      <w:pPr>
        <w:numPr>
          <w:ilvl w:val="0"/>
          <w:numId w:val="43"/>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该方为行使、维护或强制执行其在“交易文件”项下的任何权利或为履行其在“交易文件”项下的任何义务，而仅向为上述目的需要获知相关信息的人披露的信息；</w:t>
      </w:r>
    </w:p>
    <w:p w14:paraId="51742A47">
      <w:pPr>
        <w:numPr>
          <w:ilvl w:val="0"/>
          <w:numId w:val="43"/>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该方向必须获知相关信息以履行其在“交易文件”项下义务的任何主体披露的信息；</w:t>
      </w:r>
    </w:p>
    <w:p w14:paraId="7086BE48">
      <w:pPr>
        <w:numPr>
          <w:ilvl w:val="0"/>
          <w:numId w:val="43"/>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该方向已签署保密协议的中介服务机构披露的必要信息；</w:t>
      </w:r>
    </w:p>
    <w:p w14:paraId="7C3EBDD9">
      <w:pPr>
        <w:numPr>
          <w:ilvl w:val="0"/>
          <w:numId w:val="43"/>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经与保密信息有关的各方同意而披露的信息；</w:t>
      </w:r>
    </w:p>
    <w:p w14:paraId="0E062B0A">
      <w:pPr>
        <w:numPr>
          <w:ilvl w:val="0"/>
          <w:numId w:val="43"/>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应“评级机构”或“资产支持证券持有人”的要求，向其或与其签署保密协议的中介服务机构披露的信息（涉及“借款人”的信息除外）。</w:t>
      </w:r>
      <w:bookmarkEnd w:id="1643"/>
      <w:bookmarkEnd w:id="1644"/>
      <w:bookmarkEnd w:id="1645"/>
      <w:bookmarkStart w:id="1646" w:name="_Toc92612947"/>
    </w:p>
    <w:p w14:paraId="1DADE631">
      <w:pPr>
        <w:numPr>
          <w:ilvl w:val="1"/>
          <w:numId w:val="6"/>
        </w:numPr>
        <w:spacing w:before="156" w:beforeLines="50" w:after="156" w:afterLines="50" w:line="360" w:lineRule="auto"/>
        <w:rPr>
          <w:rFonts w:ascii="Times New Roman" w:hAnsi="Times New Roman" w:eastAsia="楷体_GB2312"/>
          <w:b/>
          <w:sz w:val="24"/>
        </w:rPr>
      </w:pPr>
      <w:bookmarkStart w:id="1647" w:name="_Toc207007319"/>
      <w:r>
        <w:rPr>
          <w:rFonts w:ascii="Times New Roman" w:hAnsi="Times New Roman" w:eastAsia="楷体_GB2312"/>
          <w:sz w:val="24"/>
        </w:rPr>
        <w:t>本第</w:t>
      </w:r>
      <w:r>
        <w:rPr>
          <w:rFonts w:ascii="Times New Roman" w:hAnsi="Times New Roman" w:eastAsia="楷体_GB2312"/>
          <w:sz w:val="24"/>
        </w:rPr>
        <w:fldChar w:fldCharType="begin"/>
      </w:r>
      <w:r>
        <w:rPr>
          <w:rFonts w:ascii="Times New Roman" w:hAnsi="Times New Roman" w:eastAsia="楷体_GB2312"/>
          <w:sz w:val="24"/>
        </w:rPr>
        <w:instrText xml:space="preserve"> REF _Ref347325014 \r \h  \* MERGEFORMAT </w:instrText>
      </w:r>
      <w:r>
        <w:rPr>
          <w:rFonts w:ascii="Times New Roman" w:hAnsi="Times New Roman" w:eastAsia="楷体_GB2312"/>
          <w:sz w:val="24"/>
        </w:rPr>
        <w:fldChar w:fldCharType="separate"/>
      </w:r>
      <w:r>
        <w:rPr>
          <w:rFonts w:ascii="Times New Roman" w:hAnsi="Times New Roman" w:eastAsia="楷体_GB2312"/>
          <w:sz w:val="24"/>
        </w:rPr>
        <w:t>22</w:t>
      </w:r>
      <w:r>
        <w:rPr>
          <w:rFonts w:ascii="Times New Roman" w:hAnsi="Times New Roman" w:eastAsia="楷体_GB2312"/>
          <w:sz w:val="24"/>
        </w:rPr>
        <w:fldChar w:fldCharType="end"/>
      </w:r>
      <w:r>
        <w:rPr>
          <w:rFonts w:ascii="Times New Roman" w:hAnsi="Times New Roman" w:eastAsia="楷体_GB2312"/>
          <w:sz w:val="24"/>
        </w:rPr>
        <w:t>条的约定在本合同终止后仍然有效。</w:t>
      </w:r>
    </w:p>
    <w:p w14:paraId="3364AB2F">
      <w:pPr>
        <w:numPr>
          <w:ilvl w:val="0"/>
          <w:numId w:val="6"/>
        </w:numPr>
        <w:spacing w:before="156" w:beforeLines="50" w:after="156" w:afterLines="50" w:line="360" w:lineRule="auto"/>
        <w:outlineLvl w:val="0"/>
        <w:rPr>
          <w:rFonts w:ascii="Times New Roman" w:hAnsi="Times New Roman" w:eastAsia="楷体_GB2312"/>
          <w:b/>
          <w:sz w:val="24"/>
        </w:rPr>
      </w:pPr>
      <w:bookmarkStart w:id="1648" w:name="_Toc227694343"/>
      <w:bookmarkStart w:id="1649" w:name="_Toc335661525"/>
      <w:r>
        <w:rPr>
          <w:rFonts w:ascii="Times New Roman" w:hAnsi="Times New Roman" w:eastAsia="楷体_GB2312"/>
          <w:b/>
          <w:sz w:val="24"/>
        </w:rPr>
        <w:t>不可抗力</w:t>
      </w:r>
      <w:bookmarkEnd w:id="1647"/>
      <w:bookmarkEnd w:id="1648"/>
      <w:bookmarkEnd w:id="1649"/>
    </w:p>
    <w:p w14:paraId="38080B8F">
      <w:pPr>
        <w:numPr>
          <w:ilvl w:val="1"/>
          <w:numId w:val="6"/>
        </w:numPr>
        <w:spacing w:before="156" w:beforeLines="50" w:after="156" w:afterLines="50" w:line="360" w:lineRule="auto"/>
        <w:rPr>
          <w:rFonts w:ascii="Times New Roman" w:hAnsi="Times New Roman" w:eastAsia="楷体_GB2312"/>
          <w:b/>
          <w:sz w:val="24"/>
        </w:rPr>
      </w:pPr>
      <w:r>
        <w:rPr>
          <w:rFonts w:ascii="Times New Roman" w:hAnsi="Times New Roman" w:eastAsia="楷体_GB2312"/>
          <w:sz w:val="24"/>
        </w:rPr>
        <w:t>不可抗力事件是指本合同一方不能合理控制、不可预见或即使预见亦无法避免的事件，该事件妨碍、影响或延误任何一方根据本合同履行其全部或部分义务。该事件包括但不限于地震、台风、洪水、火灾、瘟疫、其他天灾、战争、政变、骚乱、罢工或其他类似事件，以及新法规或国家政策颁布或对原法规或国家政策的修改等因素。</w:t>
      </w:r>
    </w:p>
    <w:p w14:paraId="27B02C7D">
      <w:pPr>
        <w:numPr>
          <w:ilvl w:val="1"/>
          <w:numId w:val="6"/>
        </w:numPr>
        <w:autoSpaceDE w:val="0"/>
        <w:autoSpaceDN w:val="0"/>
        <w:adjustRightInd w:val="0"/>
        <w:spacing w:before="156" w:beforeLines="50" w:after="156" w:afterLines="50" w:line="360" w:lineRule="auto"/>
        <w:rPr>
          <w:rFonts w:ascii="Times New Roman" w:hAnsi="Times New Roman" w:eastAsia="楷体_GB2312"/>
          <w:b/>
          <w:sz w:val="24"/>
        </w:rPr>
      </w:pPr>
      <w:r>
        <w:rPr>
          <w:rFonts w:ascii="Times New Roman" w:hAnsi="Times New Roman" w:eastAsia="楷体_GB2312"/>
          <w:sz w:val="24"/>
        </w:rPr>
        <w:t>如发生不可抗力事件，则遭受该事件的一方应立即用可能的快捷方式通知对方，并在</w:t>
      </w:r>
      <w:r>
        <w:rPr>
          <w:rFonts w:ascii="Times New Roman" w:hAnsi="Times New Roman" w:eastAsia="楷体_GB2312"/>
          <w:b/>
          <w:sz w:val="24"/>
        </w:rPr>
        <w:t>【】</w:t>
      </w:r>
      <w:r>
        <w:rPr>
          <w:rFonts w:ascii="Times New Roman" w:hAnsi="Times New Roman" w:eastAsia="楷体_GB2312"/>
          <w:sz w:val="24"/>
        </w:rPr>
        <w:t>日内提供证明文件说明有关事件的细节和不能履行或部分不能履行或需延迟履行本合同的原因。本合同双方应在协商一致的基础上决定是否延期履行本合同或终止本合同，并达成书面协议。</w:t>
      </w:r>
    </w:p>
    <w:p w14:paraId="2CA79273">
      <w:pPr>
        <w:numPr>
          <w:ilvl w:val="1"/>
          <w:numId w:val="6"/>
        </w:numPr>
        <w:autoSpaceDE w:val="0"/>
        <w:autoSpaceDN w:val="0"/>
        <w:adjustRightInd w:val="0"/>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如果发生不可抗力事件致使“委托人”或“受托人”：为本合同项下交易提供服务的通信或计算机设备无法工作；为本合同项下交易提供服务的相关设备或上述设备无法操作；或不能履行或迟延履行本合同项下之各项义务；则“委托人”或“受托人”对无法履行或迟延履行其在本合同项下的义务不承担任何责任，但“委托人”或“受托人”迟延履行其在本合同项下义务后发生不可抗力的，“委托人”或“受托人”对无法履行或迟延履行其在本合同项下的义务不能免除责任。“委托人”或“受托人”在不可抗力发生后，应尽最大努力减少由此可能造成的损失。</w:t>
      </w:r>
    </w:p>
    <w:bookmarkEnd w:id="1646"/>
    <w:p w14:paraId="33AA13DB">
      <w:pPr>
        <w:numPr>
          <w:ilvl w:val="0"/>
          <w:numId w:val="6"/>
        </w:numPr>
        <w:spacing w:before="156" w:beforeLines="50" w:after="156" w:afterLines="50" w:line="360" w:lineRule="auto"/>
        <w:outlineLvl w:val="0"/>
        <w:rPr>
          <w:rFonts w:ascii="Times New Roman" w:hAnsi="Times New Roman" w:eastAsia="楷体_GB2312"/>
          <w:b/>
          <w:sz w:val="24"/>
        </w:rPr>
      </w:pPr>
      <w:bookmarkStart w:id="1650" w:name="_Toc112069007"/>
      <w:bookmarkEnd w:id="1650"/>
      <w:bookmarkStart w:id="1651" w:name="_Toc120277539"/>
      <w:bookmarkEnd w:id="1651"/>
      <w:bookmarkStart w:id="1652" w:name="_Toc120277538"/>
      <w:bookmarkEnd w:id="1652"/>
      <w:bookmarkStart w:id="1653" w:name="_DV_M588"/>
      <w:bookmarkEnd w:id="1653"/>
      <w:bookmarkStart w:id="1654" w:name="_Toc120277374"/>
      <w:bookmarkEnd w:id="1654"/>
      <w:bookmarkStart w:id="1655" w:name="_DV_M585"/>
      <w:bookmarkEnd w:id="1655"/>
      <w:bookmarkStart w:id="1656" w:name="_Toc120275202"/>
      <w:bookmarkEnd w:id="1656"/>
      <w:bookmarkStart w:id="1657" w:name="_DV_M580"/>
      <w:bookmarkEnd w:id="1657"/>
      <w:bookmarkStart w:id="1658" w:name="_DV_M586"/>
      <w:bookmarkEnd w:id="1658"/>
      <w:bookmarkStart w:id="1659" w:name="_DV_M587"/>
      <w:bookmarkEnd w:id="1659"/>
      <w:bookmarkStart w:id="1660" w:name="_Toc106417457"/>
      <w:bookmarkEnd w:id="1660"/>
      <w:bookmarkStart w:id="1661" w:name="_DV_M582"/>
      <w:bookmarkEnd w:id="1661"/>
      <w:bookmarkStart w:id="1662" w:name="_Toc120277373"/>
      <w:bookmarkEnd w:id="1662"/>
      <w:bookmarkStart w:id="1663" w:name="_Toc106417456"/>
      <w:bookmarkEnd w:id="1663"/>
      <w:bookmarkStart w:id="1664" w:name="_DV_M589"/>
      <w:bookmarkEnd w:id="1664"/>
      <w:bookmarkStart w:id="1665" w:name="_DV_M583"/>
      <w:bookmarkEnd w:id="1665"/>
      <w:bookmarkStart w:id="1666" w:name="_Toc120277284"/>
      <w:bookmarkEnd w:id="1666"/>
      <w:bookmarkStart w:id="1667" w:name="_Toc120275203"/>
      <w:bookmarkEnd w:id="1667"/>
      <w:bookmarkStart w:id="1668" w:name="_DV_M584"/>
      <w:bookmarkEnd w:id="1668"/>
      <w:bookmarkStart w:id="1669" w:name="_Toc112069008"/>
      <w:bookmarkEnd w:id="1669"/>
      <w:bookmarkStart w:id="1670" w:name="_Toc120276605"/>
      <w:bookmarkEnd w:id="1670"/>
      <w:bookmarkStart w:id="1671" w:name="_Toc120276606"/>
      <w:bookmarkEnd w:id="1671"/>
      <w:bookmarkStart w:id="1672" w:name="_DV_M581"/>
      <w:bookmarkEnd w:id="1672"/>
      <w:bookmarkStart w:id="1673" w:name="_Toc120277285"/>
      <w:bookmarkEnd w:id="1673"/>
      <w:bookmarkStart w:id="1674" w:name="_DV_M590"/>
      <w:bookmarkEnd w:id="1674"/>
      <w:bookmarkStart w:id="1675" w:name="_Toc150895755"/>
      <w:bookmarkEnd w:id="1675"/>
      <w:bookmarkStart w:id="1676" w:name="_Toc111281857"/>
      <w:bookmarkStart w:id="1677" w:name="_Ref111020368"/>
      <w:bookmarkStart w:id="1678" w:name="_Toc201569472"/>
      <w:bookmarkStart w:id="1679" w:name="_Toc110153483"/>
      <w:bookmarkStart w:id="1680" w:name="_Toc227694344"/>
      <w:r>
        <w:rPr>
          <w:rFonts w:ascii="Times New Roman" w:hAnsi="Times New Roman" w:eastAsia="楷体_GB2312"/>
          <w:b/>
          <w:sz w:val="24"/>
        </w:rPr>
        <w:t>法律</w:t>
      </w:r>
      <w:bookmarkStart w:id="1681" w:name="_Toc92612965"/>
      <w:r>
        <w:rPr>
          <w:rFonts w:ascii="Times New Roman" w:hAnsi="Times New Roman" w:eastAsia="楷体_GB2312"/>
          <w:b/>
          <w:sz w:val="24"/>
        </w:rPr>
        <w:t>适用和争议解决</w:t>
      </w:r>
      <w:bookmarkEnd w:id="1676"/>
      <w:bookmarkEnd w:id="1677"/>
      <w:bookmarkEnd w:id="1678"/>
      <w:bookmarkEnd w:id="1679"/>
      <w:bookmarkEnd w:id="1680"/>
    </w:p>
    <w:bookmarkEnd w:id="1681"/>
    <w:p w14:paraId="1EC87660">
      <w:pPr>
        <w:numPr>
          <w:ilvl w:val="1"/>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本合同的订立、生效、履行、解释、修改、争议解决和终止等事项适用“中国”“法律”。</w:t>
      </w:r>
    </w:p>
    <w:p w14:paraId="0B721519">
      <w:pPr>
        <w:numPr>
          <w:ilvl w:val="1"/>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对于“委托人”和“受托人”在履行本合同中发生的争议，由双方协商解决。如争议在本合同一方向对方发出通知后</w:t>
      </w:r>
      <w:r>
        <w:rPr>
          <w:rFonts w:ascii="Times New Roman" w:hAnsi="Times New Roman" w:eastAsia="楷体_GB2312"/>
          <w:b/>
          <w:sz w:val="24"/>
        </w:rPr>
        <w:t>【】</w:t>
      </w:r>
      <w:r>
        <w:rPr>
          <w:rFonts w:ascii="Times New Roman" w:hAnsi="Times New Roman" w:eastAsia="楷体_GB2312"/>
          <w:sz w:val="24"/>
        </w:rPr>
        <w:t>日内仍未获解决，则任何一方均有权向本合同签署地有管辖权的人民法院提起诉讼。</w:t>
      </w:r>
    </w:p>
    <w:p w14:paraId="32A019DA">
      <w:pPr>
        <w:pStyle w:val="115"/>
        <w:spacing w:before="156" w:beforeLines="50" w:after="156" w:afterLines="50" w:line="360" w:lineRule="auto"/>
        <w:ind w:left="993" w:firstLine="0" w:firstLineChars="0"/>
        <w:rPr>
          <w:rFonts w:eastAsia="楷体_GB2312"/>
          <w:b/>
          <w:i/>
          <w:iCs/>
          <w:color w:val="FF0000"/>
          <w:sz w:val="24"/>
        </w:rPr>
      </w:pPr>
      <w:r>
        <w:rPr>
          <w:rFonts w:eastAsia="楷体_GB2312"/>
          <w:b/>
          <w:i/>
          <w:iCs/>
          <w:color w:val="FF0000"/>
          <w:sz w:val="24"/>
        </w:rPr>
        <w:t>【注：争议解决方式以及管辖/仲裁地可调整。】</w:t>
      </w:r>
    </w:p>
    <w:p w14:paraId="430C9BC2">
      <w:pPr>
        <w:numPr>
          <w:ilvl w:val="1"/>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在诉讼过程中，除双方有争议正在进行诉讼的事项以外，双方应继续履行其他部分的义务。</w:t>
      </w:r>
    </w:p>
    <w:p w14:paraId="55C039F7">
      <w:pPr>
        <w:numPr>
          <w:ilvl w:val="0"/>
          <w:numId w:val="6"/>
        </w:numPr>
        <w:spacing w:before="156" w:beforeLines="50" w:after="156" w:afterLines="50" w:line="360" w:lineRule="auto"/>
        <w:outlineLvl w:val="0"/>
        <w:rPr>
          <w:rFonts w:ascii="Times New Roman" w:hAnsi="Times New Roman" w:eastAsia="楷体_GB2312"/>
          <w:b/>
          <w:sz w:val="24"/>
        </w:rPr>
      </w:pPr>
      <w:bookmarkStart w:id="1682" w:name="_Toc227694345"/>
      <w:r>
        <w:rPr>
          <w:rFonts w:ascii="Times New Roman" w:hAnsi="Times New Roman" w:eastAsia="楷体_GB2312"/>
          <w:b/>
          <w:sz w:val="24"/>
        </w:rPr>
        <w:t>有限追索和诉讼禁止</w:t>
      </w:r>
      <w:bookmarkEnd w:id="1682"/>
    </w:p>
    <w:p w14:paraId="4A7CA66D">
      <w:pPr>
        <w:spacing w:before="156" w:beforeLines="50" w:after="156" w:afterLines="50" w:line="360" w:lineRule="auto"/>
        <w:ind w:left="424" w:leftChars="202"/>
        <w:rPr>
          <w:rFonts w:ascii="Times New Roman" w:hAnsi="Times New Roman" w:eastAsia="楷体_GB2312"/>
          <w:sz w:val="24"/>
        </w:rPr>
      </w:pPr>
      <w:r>
        <w:rPr>
          <w:rFonts w:ascii="Times New Roman" w:hAnsi="Times New Roman" w:eastAsia="楷体_GB2312"/>
          <w:sz w:val="24"/>
        </w:rPr>
        <w:t>本合同双方承认且“受托人”代表“资产支持证券持有人”同意，“受托人”对“资产支持证券”的本金和收益不作任何保证或担保，“资产支持证券”仅代表“信托受益权”的相应份额，不构成“受托人”的负债，除针对“受托人”提起的因其自身过失、欺诈、故意的不当行为或违反“交易文件”项下的义务而提起的诉讼或仲裁，针对“信托”、“受托人”、“信托”的义务以及“受托人”在“资产支持证券”项下的义务的追索权，只限于“信托财产”以及按照“《信托合同》”确定的顺序不时可供使用的金额。对于根据本合同运用“信托财产”及/或其实现的收益后仍未满足的“资产支持证券”项下的金额，“资产支持证券持有人”针对“信托”或“受托人”不享有索赔或追索权，在这种情况下，“资产支持证券”项下的权利应被放弃或消灭。本合同双方进一步同意且“受托人”代表“资产支持证券持有人”承诺，在“信托”的存续期间（自“信托设立日”起至“信托终止日”），任何一方不得为终止“信托”的目的而提起任何诉讼或仲裁程序；为避免疑问，本条不限制任何一方因其他方的欺诈、违约、故意的不当行为或疏忽所遭受的损失而针对该方提起的诉讼或仲裁程序。</w:t>
      </w:r>
    </w:p>
    <w:p w14:paraId="2B097A71">
      <w:pPr>
        <w:numPr>
          <w:ilvl w:val="0"/>
          <w:numId w:val="6"/>
        </w:numPr>
        <w:spacing w:before="156" w:beforeLines="50" w:after="156" w:afterLines="50" w:line="360" w:lineRule="auto"/>
        <w:outlineLvl w:val="0"/>
        <w:rPr>
          <w:rFonts w:ascii="Times New Roman" w:hAnsi="Times New Roman" w:eastAsia="楷体_GB2312"/>
          <w:b/>
          <w:sz w:val="24"/>
        </w:rPr>
      </w:pPr>
      <w:bookmarkStart w:id="1683" w:name="_Toc227694346"/>
      <w:bookmarkStart w:id="1684" w:name="_Toc146102907"/>
      <w:bookmarkStart w:id="1685" w:name="_Toc199759413"/>
      <w:bookmarkStart w:id="1686" w:name="_Toc173872461"/>
      <w:r>
        <w:rPr>
          <w:rFonts w:ascii="Times New Roman" w:hAnsi="Times New Roman" w:eastAsia="楷体_GB2312"/>
          <w:b/>
          <w:sz w:val="24"/>
        </w:rPr>
        <w:t>合同的转让</w:t>
      </w:r>
      <w:bookmarkEnd w:id="1683"/>
      <w:bookmarkEnd w:id="1684"/>
      <w:bookmarkEnd w:id="1685"/>
      <w:bookmarkEnd w:id="1686"/>
    </w:p>
    <w:p w14:paraId="25AB0889">
      <w:pPr>
        <w:numPr>
          <w:ilvl w:val="1"/>
          <w:numId w:val="6"/>
        </w:numPr>
        <w:spacing w:before="156" w:beforeLines="50" w:after="156" w:afterLines="50" w:line="360" w:lineRule="auto"/>
        <w:rPr>
          <w:rFonts w:ascii="Times New Roman" w:hAnsi="Times New Roman" w:eastAsia="楷体_GB2312"/>
          <w:sz w:val="24"/>
        </w:rPr>
      </w:pPr>
      <w:bookmarkStart w:id="1687" w:name="_DV_M327"/>
      <w:bookmarkEnd w:id="1687"/>
      <w:r>
        <w:rPr>
          <w:rFonts w:ascii="Times New Roman" w:hAnsi="Times New Roman" w:eastAsia="楷体_GB2312"/>
          <w:sz w:val="24"/>
        </w:rPr>
        <w:t>除非本合同另有约定，未经本合同双方事先书面同意并事先通知“评级机构”，任何一方不得转让其在本合同项下的权利或义务，或在前述权利或义务上向第三方设定质押或其他担保。但“委托人”将其在本合同项下部分或全部的权利或义务转让给继受其</w:t>
      </w:r>
      <w:r>
        <w:rPr>
          <w:rFonts w:ascii="Times New Roman" w:hAnsi="Times New Roman" w:eastAsia="楷体_GB2312"/>
          <w:sz w:val="24"/>
          <w:szCs w:val="28"/>
        </w:rPr>
        <w:t>【个人消费贷款/信用卡】</w:t>
      </w:r>
      <w:r>
        <w:rPr>
          <w:rFonts w:ascii="Times New Roman" w:hAnsi="Times New Roman" w:eastAsia="楷体_GB2312"/>
          <w:sz w:val="24"/>
        </w:rPr>
        <w:t>业务的继受方除外。</w:t>
      </w:r>
    </w:p>
    <w:p w14:paraId="2D732E30">
      <w:pPr>
        <w:numPr>
          <w:ilvl w:val="1"/>
          <w:numId w:val="6"/>
        </w:numPr>
        <w:spacing w:before="156" w:beforeLines="50" w:after="156" w:afterLines="50" w:line="360" w:lineRule="auto"/>
        <w:rPr>
          <w:rFonts w:ascii="Times New Roman" w:hAnsi="Times New Roman" w:eastAsia="楷体_GB2312"/>
          <w:sz w:val="24"/>
        </w:rPr>
      </w:pPr>
      <w:bookmarkStart w:id="1688" w:name="_DV_M328"/>
      <w:bookmarkEnd w:id="1688"/>
      <w:bookmarkStart w:id="1689" w:name="_Ref111374751"/>
      <w:r>
        <w:rPr>
          <w:rFonts w:ascii="Times New Roman" w:hAnsi="Times New Roman" w:eastAsia="楷体_GB2312"/>
          <w:sz w:val="24"/>
        </w:rPr>
        <w:t>本合同对双方及其继任者、允许的受让人均具有约束力。</w:t>
      </w:r>
    </w:p>
    <w:p w14:paraId="36BFA6AE">
      <w:pPr>
        <w:numPr>
          <w:ilvl w:val="1"/>
          <w:numId w:val="6"/>
        </w:numPr>
        <w:spacing w:before="156" w:beforeLines="50" w:after="156" w:afterLines="50" w:line="360" w:lineRule="auto"/>
        <w:rPr>
          <w:rFonts w:ascii="Times New Roman" w:hAnsi="Times New Roman" w:eastAsia="楷体_GB2312"/>
          <w:sz w:val="24"/>
        </w:rPr>
      </w:pPr>
      <w:bookmarkStart w:id="1690" w:name="_DV_M329"/>
      <w:bookmarkEnd w:id="1690"/>
      <w:r>
        <w:rPr>
          <w:rFonts w:ascii="Times New Roman" w:hAnsi="Times New Roman" w:eastAsia="楷体_GB2312"/>
          <w:sz w:val="24"/>
        </w:rPr>
        <w:t>如“受托人”根据本合同的约定被更换，则其继任者将承继被更换“受托人”在本合同项下的权利义务。</w:t>
      </w:r>
      <w:bookmarkEnd w:id="1689"/>
    </w:p>
    <w:p w14:paraId="716A205F">
      <w:pPr>
        <w:numPr>
          <w:ilvl w:val="0"/>
          <w:numId w:val="6"/>
        </w:numPr>
        <w:spacing w:before="156" w:beforeLines="50" w:after="156" w:afterLines="50" w:line="360" w:lineRule="auto"/>
        <w:outlineLvl w:val="0"/>
        <w:rPr>
          <w:rFonts w:ascii="Times New Roman" w:hAnsi="Times New Roman" w:eastAsia="楷体_GB2312"/>
          <w:b/>
          <w:sz w:val="24"/>
        </w:rPr>
      </w:pPr>
      <w:bookmarkStart w:id="1691" w:name="_Toc201569473"/>
      <w:bookmarkStart w:id="1692" w:name="_Toc227694347"/>
      <w:bookmarkStart w:id="1693" w:name="_Toc110153484"/>
      <w:bookmarkStart w:id="1694" w:name="_Toc111281858"/>
      <w:r>
        <w:rPr>
          <w:rFonts w:ascii="Times New Roman" w:hAnsi="Times New Roman" w:eastAsia="楷体_GB2312"/>
          <w:b/>
          <w:sz w:val="24"/>
        </w:rPr>
        <w:t>通知</w:t>
      </w:r>
      <w:bookmarkStart w:id="1695" w:name="_Toc92612966"/>
      <w:r>
        <w:rPr>
          <w:rFonts w:ascii="Times New Roman" w:hAnsi="Times New Roman" w:eastAsia="楷体_GB2312"/>
          <w:b/>
          <w:sz w:val="24"/>
        </w:rPr>
        <w:t>和送达</w:t>
      </w:r>
      <w:bookmarkEnd w:id="1691"/>
      <w:bookmarkEnd w:id="1692"/>
      <w:bookmarkEnd w:id="1693"/>
      <w:bookmarkEnd w:id="1694"/>
    </w:p>
    <w:p w14:paraId="0F68E170">
      <w:pPr>
        <w:numPr>
          <w:ilvl w:val="1"/>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本合同项下对</w:t>
      </w:r>
      <w:r>
        <w:rPr>
          <w:rFonts w:hint="eastAsia" w:ascii="Times New Roman" w:hAnsi="Times New Roman" w:eastAsia="楷体_GB2312"/>
          <w:sz w:val="24"/>
        </w:rPr>
        <w:t>其他方</w:t>
      </w:r>
      <w:r>
        <w:rPr>
          <w:rFonts w:ascii="Times New Roman" w:hAnsi="Times New Roman" w:eastAsia="楷体_GB2312"/>
          <w:sz w:val="24"/>
        </w:rPr>
        <w:t>（</w:t>
      </w:r>
      <w:r>
        <w:rPr>
          <w:rFonts w:hint="eastAsia" w:ascii="Times New Roman" w:hAnsi="Times New Roman" w:eastAsia="楷体_GB2312"/>
          <w:sz w:val="24"/>
        </w:rPr>
        <w:t>包括</w:t>
      </w:r>
      <w:r>
        <w:rPr>
          <w:rFonts w:ascii="Times New Roman" w:hAnsi="Times New Roman" w:eastAsia="楷体_GB2312"/>
          <w:sz w:val="24"/>
        </w:rPr>
        <w:t>“评级机构”）的任何通知均应以书面形式作出，以专人送达、特快专递、传真或电子邮件方式递送，并且如果本合同另有要求，每一份通知均应抄送给其他各相关方。</w:t>
      </w:r>
    </w:p>
    <w:p w14:paraId="459D4228">
      <w:pPr>
        <w:numPr>
          <w:ilvl w:val="1"/>
          <w:numId w:val="6"/>
        </w:numPr>
        <w:spacing w:before="156" w:beforeLines="50" w:after="156" w:afterLines="50" w:line="360" w:lineRule="auto"/>
        <w:rPr>
          <w:rFonts w:ascii="Times New Roman" w:hAnsi="Times New Roman" w:eastAsia="楷体_GB2312"/>
          <w:sz w:val="24"/>
        </w:rPr>
      </w:pPr>
      <w:bookmarkStart w:id="1696" w:name="_DV_M332"/>
      <w:bookmarkEnd w:id="1696"/>
      <w:r>
        <w:rPr>
          <w:rFonts w:ascii="Times New Roman" w:hAnsi="Times New Roman" w:eastAsia="楷体_GB2312"/>
          <w:sz w:val="24"/>
        </w:rPr>
        <w:t>通知在下列日期视为送达被通知方：</w:t>
      </w:r>
    </w:p>
    <w:p w14:paraId="3CFFC269">
      <w:pPr>
        <w:numPr>
          <w:ilvl w:val="0"/>
          <w:numId w:val="44"/>
        </w:numPr>
        <w:spacing w:before="156" w:beforeLines="50" w:after="156" w:afterLines="50" w:line="360" w:lineRule="auto"/>
        <w:rPr>
          <w:rFonts w:ascii="Times New Roman" w:hAnsi="Times New Roman" w:eastAsia="楷体_GB2312"/>
          <w:sz w:val="24"/>
        </w:rPr>
      </w:pPr>
      <w:bookmarkStart w:id="1697" w:name="_DV_M333"/>
      <w:bookmarkEnd w:id="1697"/>
      <w:r>
        <w:rPr>
          <w:rFonts w:ascii="Times New Roman" w:hAnsi="Times New Roman" w:eastAsia="楷体_GB2312"/>
          <w:sz w:val="24"/>
        </w:rPr>
        <w:t>专人送达：通知方取得的被通知方签收单所示日；</w:t>
      </w:r>
    </w:p>
    <w:p w14:paraId="3AD213BB">
      <w:pPr>
        <w:numPr>
          <w:ilvl w:val="0"/>
          <w:numId w:val="44"/>
        </w:numPr>
        <w:spacing w:before="156" w:beforeLines="50" w:after="156" w:afterLines="50" w:line="360" w:lineRule="auto"/>
        <w:rPr>
          <w:rFonts w:ascii="Times New Roman" w:hAnsi="Times New Roman" w:eastAsia="楷体_GB2312"/>
          <w:sz w:val="24"/>
        </w:rPr>
      </w:pPr>
      <w:bookmarkStart w:id="1698" w:name="_DV_M334"/>
      <w:bookmarkEnd w:id="1698"/>
      <w:r>
        <w:rPr>
          <w:rFonts w:ascii="Times New Roman" w:hAnsi="Times New Roman" w:eastAsia="楷体_GB2312"/>
          <w:sz w:val="24"/>
        </w:rPr>
        <w:t>特快专递：发出通知方持有的投递凭证所示日后第</w:t>
      </w:r>
      <w:r>
        <w:rPr>
          <w:rFonts w:ascii="Times New Roman" w:hAnsi="Times New Roman" w:eastAsia="楷体_GB2312"/>
          <w:b/>
          <w:sz w:val="24"/>
        </w:rPr>
        <w:t>【】</w:t>
      </w:r>
      <w:r>
        <w:rPr>
          <w:rFonts w:ascii="Times New Roman" w:hAnsi="Times New Roman" w:eastAsia="楷体_GB2312"/>
          <w:sz w:val="24"/>
        </w:rPr>
        <w:t>个“工作日”；</w:t>
      </w:r>
    </w:p>
    <w:p w14:paraId="284BC1C1">
      <w:pPr>
        <w:numPr>
          <w:ilvl w:val="0"/>
          <w:numId w:val="4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传真：收到成功发送确认后的第</w:t>
      </w:r>
      <w:r>
        <w:rPr>
          <w:rFonts w:ascii="Times New Roman" w:hAnsi="Times New Roman" w:eastAsia="楷体_GB2312"/>
          <w:b/>
          <w:sz w:val="24"/>
        </w:rPr>
        <w:t>【】</w:t>
      </w:r>
      <w:r>
        <w:rPr>
          <w:rFonts w:ascii="Times New Roman" w:hAnsi="Times New Roman" w:eastAsia="楷体_GB2312"/>
          <w:sz w:val="24"/>
        </w:rPr>
        <w:t>个</w:t>
      </w:r>
      <w:r>
        <w:rPr>
          <w:rFonts w:ascii="Times New Roman" w:hAnsi="Times New Roman" w:eastAsia="楷体_GB2312"/>
          <w:bCs/>
          <w:sz w:val="24"/>
        </w:rPr>
        <w:t>“</w:t>
      </w:r>
      <w:r>
        <w:rPr>
          <w:rFonts w:ascii="Times New Roman" w:hAnsi="Times New Roman" w:eastAsia="楷体_GB2312"/>
          <w:sz w:val="24"/>
        </w:rPr>
        <w:t>工作日</w:t>
      </w:r>
      <w:r>
        <w:rPr>
          <w:rFonts w:ascii="Times New Roman" w:hAnsi="Times New Roman" w:eastAsia="楷体_GB2312"/>
          <w:bCs/>
          <w:sz w:val="24"/>
        </w:rPr>
        <w:t>”</w:t>
      </w:r>
      <w:r>
        <w:rPr>
          <w:rFonts w:ascii="Times New Roman" w:hAnsi="Times New Roman" w:eastAsia="楷体_GB2312"/>
          <w:sz w:val="24"/>
        </w:rPr>
        <w:t>；</w:t>
      </w:r>
    </w:p>
    <w:p w14:paraId="7D54D443">
      <w:pPr>
        <w:numPr>
          <w:ilvl w:val="0"/>
          <w:numId w:val="44"/>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电子邮件：电子邮件</w:t>
      </w:r>
      <w:bookmarkStart w:id="1699" w:name="_Hlk167269571"/>
      <w:r>
        <w:rPr>
          <w:rFonts w:ascii="Times New Roman" w:hAnsi="Times New Roman" w:eastAsia="楷体_GB2312"/>
          <w:sz w:val="24"/>
        </w:rPr>
        <w:t>发出</w:t>
      </w:r>
      <w:bookmarkEnd w:id="1699"/>
      <w:r>
        <w:rPr>
          <w:rFonts w:ascii="Times New Roman" w:hAnsi="Times New Roman" w:eastAsia="楷体_GB2312"/>
          <w:sz w:val="24"/>
        </w:rPr>
        <w:t>之日。</w:t>
      </w:r>
    </w:p>
    <w:p w14:paraId="3A6015A9">
      <w:pPr>
        <w:numPr>
          <w:ilvl w:val="1"/>
          <w:numId w:val="6"/>
        </w:numPr>
        <w:spacing w:before="156" w:beforeLines="50" w:after="156" w:afterLines="50" w:line="360" w:lineRule="auto"/>
        <w:rPr>
          <w:rFonts w:ascii="Times New Roman" w:hAnsi="Times New Roman" w:eastAsia="楷体_GB2312"/>
          <w:b/>
          <w:bCs/>
          <w:sz w:val="24"/>
        </w:rPr>
      </w:pPr>
      <w:r>
        <w:rPr>
          <w:rFonts w:ascii="Times New Roman" w:hAnsi="Times New Roman" w:eastAsia="楷体_GB2312"/>
          <w:sz w:val="24"/>
        </w:rPr>
        <w:t>本合同项下的任何通知、报告或其他通信以及抄送给其他方的副本，均应按以下联系方式或</w:t>
      </w:r>
      <w:r>
        <w:rPr>
          <w:rFonts w:hint="eastAsia" w:ascii="Times New Roman" w:hAnsi="Times New Roman" w:eastAsia="楷体_GB2312"/>
          <w:sz w:val="24"/>
        </w:rPr>
        <w:t>各</w:t>
      </w:r>
      <w:r>
        <w:rPr>
          <w:rFonts w:ascii="Times New Roman" w:hAnsi="Times New Roman" w:eastAsia="楷体_GB2312"/>
          <w:sz w:val="24"/>
        </w:rPr>
        <w:t>方不时根据本条款通知其他方的联系方式发送给相关方：</w:t>
      </w:r>
    </w:p>
    <w:tbl>
      <w:tblPr>
        <w:tblStyle w:val="30"/>
        <w:tblW w:w="8640" w:type="dxa"/>
        <w:tblInd w:w="108" w:type="dxa"/>
        <w:tblLayout w:type="fixed"/>
        <w:tblCellMar>
          <w:top w:w="0" w:type="dxa"/>
          <w:left w:w="108" w:type="dxa"/>
          <w:bottom w:w="0" w:type="dxa"/>
          <w:right w:w="108" w:type="dxa"/>
        </w:tblCellMar>
      </w:tblPr>
      <w:tblGrid>
        <w:gridCol w:w="3097"/>
        <w:gridCol w:w="5543"/>
      </w:tblGrid>
      <w:tr w14:paraId="1BD9B35D">
        <w:tc>
          <w:tcPr>
            <w:tcW w:w="3097" w:type="dxa"/>
            <w:tcBorders>
              <w:top w:val="nil"/>
              <w:left w:val="nil"/>
              <w:bottom w:val="nil"/>
              <w:right w:val="nil"/>
            </w:tcBorders>
          </w:tcPr>
          <w:p w14:paraId="132BD009">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委托人、贷款服务机构：</w:t>
            </w:r>
          </w:p>
        </w:tc>
        <w:tc>
          <w:tcPr>
            <w:tcW w:w="5543" w:type="dxa"/>
            <w:tcBorders>
              <w:top w:val="nil"/>
              <w:left w:val="nil"/>
              <w:bottom w:val="nil"/>
              <w:right w:val="nil"/>
            </w:tcBorders>
          </w:tcPr>
          <w:p w14:paraId="12D8A25E">
            <w:pPr>
              <w:spacing w:before="156" w:beforeLines="50" w:after="156" w:afterLines="50" w:line="360" w:lineRule="auto"/>
              <w:rPr>
                <w:rFonts w:ascii="Times New Roman" w:hAnsi="Times New Roman" w:eastAsia="楷体_GB2312"/>
                <w:sz w:val="24"/>
              </w:rPr>
            </w:pPr>
            <w:r>
              <w:rPr>
                <w:rFonts w:ascii="Times New Roman" w:hAnsi="Times New Roman" w:eastAsia="楷体_GB2312"/>
                <w:b/>
                <w:bCs/>
                <w:sz w:val="24"/>
              </w:rPr>
              <w:t>【发起机构全称】</w:t>
            </w:r>
            <w:r>
              <w:rPr>
                <w:rFonts w:ascii="Times New Roman" w:hAnsi="Times New Roman" w:eastAsia="楷体_GB2312"/>
                <w:sz w:val="24"/>
              </w:rPr>
              <w:br w:type="textWrapping"/>
            </w:r>
            <w:r>
              <w:rPr>
                <w:rFonts w:ascii="Times New Roman" w:hAnsi="Times New Roman" w:eastAsia="楷体_GB2312"/>
                <w:sz w:val="24"/>
              </w:rPr>
              <w:t>地址：【】</w:t>
            </w:r>
            <w:r>
              <w:rPr>
                <w:rFonts w:ascii="Times New Roman" w:hAnsi="Times New Roman" w:eastAsia="楷体_GB2312"/>
                <w:sz w:val="24"/>
              </w:rPr>
              <w:br w:type="textWrapping"/>
            </w:r>
            <w:r>
              <w:rPr>
                <w:rFonts w:ascii="Times New Roman" w:hAnsi="Times New Roman" w:eastAsia="楷体_GB2312"/>
                <w:sz w:val="24"/>
              </w:rPr>
              <w:t>邮编：【】</w:t>
            </w:r>
            <w:r>
              <w:rPr>
                <w:rFonts w:ascii="Times New Roman" w:hAnsi="Times New Roman" w:eastAsia="楷体_GB2312"/>
                <w:sz w:val="24"/>
              </w:rPr>
              <w:br w:type="textWrapping"/>
            </w:r>
            <w:r>
              <w:rPr>
                <w:rFonts w:ascii="Times New Roman" w:hAnsi="Times New Roman" w:eastAsia="楷体_GB2312"/>
                <w:sz w:val="24"/>
              </w:rPr>
              <w:t>电话：【】</w:t>
            </w:r>
            <w:r>
              <w:rPr>
                <w:rFonts w:ascii="Times New Roman" w:hAnsi="Times New Roman" w:eastAsia="楷体_GB2312"/>
                <w:sz w:val="24"/>
              </w:rPr>
              <w:br w:type="textWrapping"/>
            </w:r>
            <w:r>
              <w:rPr>
                <w:rFonts w:ascii="Times New Roman" w:hAnsi="Times New Roman" w:eastAsia="楷体_GB2312"/>
                <w:sz w:val="24"/>
              </w:rPr>
              <w:t>传真：【】</w:t>
            </w:r>
            <w:r>
              <w:rPr>
                <w:rFonts w:ascii="Times New Roman" w:hAnsi="Times New Roman" w:eastAsia="楷体_GB2312"/>
                <w:sz w:val="24"/>
              </w:rPr>
              <w:br w:type="textWrapping"/>
            </w:r>
            <w:r>
              <w:rPr>
                <w:rFonts w:ascii="Times New Roman" w:hAnsi="Times New Roman" w:eastAsia="楷体_GB2312"/>
                <w:sz w:val="24"/>
              </w:rPr>
              <w:t>联系人：【】</w:t>
            </w:r>
          </w:p>
        </w:tc>
      </w:tr>
      <w:tr w14:paraId="7ABC384E">
        <w:tblPrEx>
          <w:tblCellMar>
            <w:top w:w="0" w:type="dxa"/>
            <w:left w:w="108" w:type="dxa"/>
            <w:bottom w:w="0" w:type="dxa"/>
            <w:right w:w="108" w:type="dxa"/>
          </w:tblCellMar>
        </w:tblPrEx>
        <w:tc>
          <w:tcPr>
            <w:tcW w:w="3097" w:type="dxa"/>
            <w:tcBorders>
              <w:top w:val="nil"/>
              <w:left w:val="nil"/>
              <w:bottom w:val="nil"/>
              <w:right w:val="nil"/>
            </w:tcBorders>
          </w:tcPr>
          <w:p w14:paraId="09C2A7A4">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受托人：</w:t>
            </w:r>
          </w:p>
        </w:tc>
        <w:tc>
          <w:tcPr>
            <w:tcW w:w="5543" w:type="dxa"/>
            <w:tcBorders>
              <w:top w:val="nil"/>
              <w:left w:val="nil"/>
              <w:bottom w:val="nil"/>
              <w:right w:val="nil"/>
            </w:tcBorders>
          </w:tcPr>
          <w:p w14:paraId="0BA6028B">
            <w:pPr>
              <w:spacing w:before="156" w:beforeLines="50" w:after="156" w:afterLines="50" w:line="360" w:lineRule="auto"/>
              <w:rPr>
                <w:rFonts w:ascii="Times New Roman" w:hAnsi="Times New Roman" w:eastAsia="楷体_GB2312"/>
                <w:sz w:val="24"/>
              </w:rPr>
            </w:pPr>
            <w:r>
              <w:rPr>
                <w:rFonts w:ascii="Times New Roman" w:hAnsi="Times New Roman" w:eastAsia="楷体_GB2312"/>
                <w:b/>
                <w:sz w:val="24"/>
              </w:rPr>
              <w:t>【受托机构全称】</w:t>
            </w:r>
            <w:r>
              <w:rPr>
                <w:rFonts w:ascii="Times New Roman" w:hAnsi="Times New Roman" w:eastAsia="楷体_GB2312"/>
                <w:sz w:val="24"/>
              </w:rPr>
              <w:br w:type="textWrapping"/>
            </w:r>
            <w:r>
              <w:rPr>
                <w:rFonts w:ascii="Times New Roman" w:hAnsi="Times New Roman" w:eastAsia="楷体_GB2312"/>
                <w:sz w:val="24"/>
              </w:rPr>
              <w:t>地址：【】</w:t>
            </w:r>
            <w:r>
              <w:rPr>
                <w:rFonts w:ascii="Times New Roman" w:hAnsi="Times New Roman" w:eastAsia="楷体_GB2312"/>
                <w:sz w:val="24"/>
              </w:rPr>
              <w:br w:type="textWrapping"/>
            </w:r>
            <w:r>
              <w:rPr>
                <w:rFonts w:ascii="Times New Roman" w:hAnsi="Times New Roman" w:eastAsia="楷体_GB2312"/>
                <w:sz w:val="24"/>
              </w:rPr>
              <w:t>邮编：【】</w:t>
            </w:r>
            <w:r>
              <w:rPr>
                <w:rFonts w:ascii="Times New Roman" w:hAnsi="Times New Roman" w:eastAsia="楷体_GB2312"/>
                <w:sz w:val="24"/>
              </w:rPr>
              <w:br w:type="textWrapping"/>
            </w:r>
            <w:r>
              <w:rPr>
                <w:rFonts w:ascii="Times New Roman" w:hAnsi="Times New Roman" w:eastAsia="楷体_GB2312"/>
                <w:sz w:val="24"/>
              </w:rPr>
              <w:t>电话：【】</w:t>
            </w:r>
            <w:r>
              <w:rPr>
                <w:rFonts w:ascii="Times New Roman" w:hAnsi="Times New Roman" w:eastAsia="楷体_GB2312"/>
                <w:sz w:val="24"/>
              </w:rPr>
              <w:br w:type="textWrapping"/>
            </w:r>
            <w:r>
              <w:rPr>
                <w:rFonts w:ascii="Times New Roman" w:hAnsi="Times New Roman" w:eastAsia="楷体_GB2312"/>
                <w:sz w:val="24"/>
              </w:rPr>
              <w:t>传真：【】</w:t>
            </w:r>
            <w:r>
              <w:rPr>
                <w:rFonts w:ascii="Times New Roman" w:hAnsi="Times New Roman" w:eastAsia="楷体_GB2312"/>
                <w:sz w:val="24"/>
              </w:rPr>
              <w:br w:type="textWrapping"/>
            </w:r>
            <w:r>
              <w:rPr>
                <w:rFonts w:ascii="Times New Roman" w:hAnsi="Times New Roman" w:eastAsia="楷体_GB2312"/>
                <w:sz w:val="24"/>
              </w:rPr>
              <w:t>联系人：【】</w:t>
            </w:r>
          </w:p>
        </w:tc>
      </w:tr>
      <w:tr w14:paraId="3D6B3D46">
        <w:tblPrEx>
          <w:tblCellMar>
            <w:top w:w="0" w:type="dxa"/>
            <w:left w:w="108" w:type="dxa"/>
            <w:bottom w:w="0" w:type="dxa"/>
            <w:right w:w="108" w:type="dxa"/>
          </w:tblCellMar>
        </w:tblPrEx>
        <w:tc>
          <w:tcPr>
            <w:tcW w:w="3097" w:type="dxa"/>
            <w:tcBorders>
              <w:top w:val="nil"/>
              <w:left w:val="nil"/>
              <w:bottom w:val="nil"/>
              <w:right w:val="nil"/>
            </w:tcBorders>
          </w:tcPr>
          <w:p w14:paraId="21C8EFD0">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评级机构：</w:t>
            </w:r>
          </w:p>
        </w:tc>
        <w:tc>
          <w:tcPr>
            <w:tcW w:w="5543" w:type="dxa"/>
            <w:tcBorders>
              <w:top w:val="nil"/>
              <w:left w:val="nil"/>
              <w:bottom w:val="nil"/>
              <w:right w:val="nil"/>
            </w:tcBorders>
          </w:tcPr>
          <w:p w14:paraId="34A4D28F">
            <w:pPr>
              <w:spacing w:before="156" w:beforeLines="50" w:after="156" w:afterLines="50" w:line="360" w:lineRule="auto"/>
              <w:rPr>
                <w:rFonts w:ascii="Times New Roman" w:hAnsi="Times New Roman" w:eastAsia="楷体_GB2312"/>
                <w:b/>
                <w:bCs/>
                <w:sz w:val="24"/>
              </w:rPr>
            </w:pPr>
            <w:r>
              <w:rPr>
                <w:rFonts w:ascii="Times New Roman" w:hAnsi="Times New Roman" w:eastAsia="楷体_GB2312"/>
                <w:b/>
                <w:bCs/>
                <w:sz w:val="24"/>
              </w:rPr>
              <w:t>【评级机构1全称】</w:t>
            </w:r>
          </w:p>
          <w:p w14:paraId="322E832E">
            <w:pPr>
              <w:spacing w:before="156" w:beforeLines="50" w:after="156" w:afterLines="50" w:line="360" w:lineRule="auto"/>
              <w:rPr>
                <w:rFonts w:ascii="Times New Roman" w:hAnsi="Times New Roman" w:eastAsia="楷体_GB2312"/>
                <w:i/>
                <w:iCs/>
                <w:sz w:val="24"/>
              </w:rPr>
            </w:pPr>
            <w:r>
              <w:rPr>
                <w:rFonts w:ascii="Times New Roman" w:hAnsi="Times New Roman" w:eastAsia="楷体_GB2312"/>
                <w:sz w:val="24"/>
              </w:rPr>
              <w:t>地址：【】</w:t>
            </w:r>
            <w:r>
              <w:rPr>
                <w:rFonts w:ascii="Times New Roman" w:hAnsi="Times New Roman" w:eastAsia="楷体_GB2312"/>
                <w:sz w:val="24"/>
              </w:rPr>
              <w:br w:type="textWrapping"/>
            </w:r>
            <w:r>
              <w:rPr>
                <w:rFonts w:ascii="Times New Roman" w:hAnsi="Times New Roman" w:eastAsia="楷体_GB2312"/>
                <w:sz w:val="24"/>
              </w:rPr>
              <w:t>邮编：【】</w:t>
            </w:r>
            <w:r>
              <w:rPr>
                <w:rFonts w:ascii="Times New Roman" w:hAnsi="Times New Roman" w:eastAsia="楷体_GB2312"/>
                <w:sz w:val="24"/>
              </w:rPr>
              <w:br w:type="textWrapping"/>
            </w:r>
            <w:r>
              <w:rPr>
                <w:rFonts w:ascii="Times New Roman" w:hAnsi="Times New Roman" w:eastAsia="楷体_GB2312"/>
                <w:sz w:val="24"/>
              </w:rPr>
              <w:t>电话：【】</w:t>
            </w:r>
            <w:r>
              <w:rPr>
                <w:rFonts w:ascii="Times New Roman" w:hAnsi="Times New Roman" w:eastAsia="楷体_GB2312"/>
                <w:sz w:val="24"/>
              </w:rPr>
              <w:br w:type="textWrapping"/>
            </w:r>
            <w:r>
              <w:rPr>
                <w:rFonts w:ascii="Times New Roman" w:hAnsi="Times New Roman" w:eastAsia="楷体_GB2312"/>
                <w:sz w:val="24"/>
              </w:rPr>
              <w:t>传真：【】</w:t>
            </w:r>
            <w:r>
              <w:rPr>
                <w:rFonts w:ascii="Times New Roman" w:hAnsi="Times New Roman" w:eastAsia="楷体_GB2312"/>
                <w:sz w:val="24"/>
              </w:rPr>
              <w:br w:type="textWrapping"/>
            </w:r>
            <w:r>
              <w:rPr>
                <w:rFonts w:ascii="Times New Roman" w:hAnsi="Times New Roman" w:eastAsia="楷体_GB2312"/>
                <w:sz w:val="24"/>
              </w:rPr>
              <w:t>联系人：【】</w:t>
            </w:r>
          </w:p>
        </w:tc>
      </w:tr>
      <w:tr w14:paraId="56BD8DA8">
        <w:tblPrEx>
          <w:tblCellMar>
            <w:top w:w="0" w:type="dxa"/>
            <w:left w:w="108" w:type="dxa"/>
            <w:bottom w:w="0" w:type="dxa"/>
            <w:right w:w="108" w:type="dxa"/>
          </w:tblCellMar>
        </w:tblPrEx>
        <w:tc>
          <w:tcPr>
            <w:tcW w:w="3097" w:type="dxa"/>
            <w:tcBorders>
              <w:top w:val="nil"/>
              <w:left w:val="nil"/>
              <w:bottom w:val="nil"/>
              <w:right w:val="nil"/>
            </w:tcBorders>
          </w:tcPr>
          <w:p w14:paraId="561A7DCC">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评级机构：</w:t>
            </w:r>
          </w:p>
        </w:tc>
        <w:tc>
          <w:tcPr>
            <w:tcW w:w="5543" w:type="dxa"/>
            <w:tcBorders>
              <w:top w:val="nil"/>
              <w:left w:val="nil"/>
              <w:bottom w:val="nil"/>
              <w:right w:val="nil"/>
            </w:tcBorders>
          </w:tcPr>
          <w:p w14:paraId="5158CD01">
            <w:pPr>
              <w:spacing w:before="156" w:beforeLines="50" w:after="156" w:afterLines="50" w:line="360" w:lineRule="auto"/>
              <w:rPr>
                <w:rFonts w:ascii="Times New Roman" w:hAnsi="Times New Roman" w:eastAsia="楷体_GB2312"/>
                <w:sz w:val="24"/>
              </w:rPr>
            </w:pPr>
            <w:r>
              <w:rPr>
                <w:rFonts w:ascii="Times New Roman" w:hAnsi="Times New Roman" w:eastAsia="楷体_GB2312"/>
                <w:b/>
                <w:bCs/>
                <w:sz w:val="24"/>
              </w:rPr>
              <w:t>【评级机构2全称】</w:t>
            </w:r>
            <w:r>
              <w:rPr>
                <w:rFonts w:ascii="Times New Roman" w:hAnsi="Times New Roman" w:eastAsia="楷体_GB2312"/>
                <w:bCs/>
                <w:sz w:val="24"/>
              </w:rPr>
              <w:br w:type="textWrapping"/>
            </w:r>
            <w:r>
              <w:rPr>
                <w:rFonts w:ascii="Times New Roman" w:hAnsi="Times New Roman" w:eastAsia="楷体_GB2312"/>
                <w:sz w:val="24"/>
              </w:rPr>
              <w:t>地址：【】</w:t>
            </w:r>
            <w:r>
              <w:rPr>
                <w:rFonts w:ascii="Times New Roman" w:hAnsi="Times New Roman" w:eastAsia="楷体_GB2312"/>
                <w:sz w:val="24"/>
              </w:rPr>
              <w:br w:type="textWrapping"/>
            </w:r>
            <w:r>
              <w:rPr>
                <w:rFonts w:ascii="Times New Roman" w:hAnsi="Times New Roman" w:eastAsia="楷体_GB2312"/>
                <w:sz w:val="24"/>
              </w:rPr>
              <w:t>邮编：【】</w:t>
            </w:r>
            <w:r>
              <w:rPr>
                <w:rFonts w:ascii="Times New Roman" w:hAnsi="Times New Roman" w:eastAsia="楷体_GB2312"/>
                <w:sz w:val="24"/>
              </w:rPr>
              <w:br w:type="textWrapping"/>
            </w:r>
            <w:r>
              <w:rPr>
                <w:rFonts w:ascii="Times New Roman" w:hAnsi="Times New Roman" w:eastAsia="楷体_GB2312"/>
                <w:sz w:val="24"/>
              </w:rPr>
              <w:t>电话：【】</w:t>
            </w:r>
            <w:r>
              <w:rPr>
                <w:rFonts w:ascii="Times New Roman" w:hAnsi="Times New Roman" w:eastAsia="楷体_GB2312"/>
                <w:sz w:val="24"/>
              </w:rPr>
              <w:br w:type="textWrapping"/>
            </w:r>
            <w:r>
              <w:rPr>
                <w:rFonts w:ascii="Times New Roman" w:hAnsi="Times New Roman" w:eastAsia="楷体_GB2312"/>
                <w:sz w:val="24"/>
              </w:rPr>
              <w:t>传真：【】</w:t>
            </w:r>
            <w:r>
              <w:rPr>
                <w:rFonts w:ascii="Times New Roman" w:hAnsi="Times New Roman" w:eastAsia="楷体_GB2312"/>
                <w:sz w:val="24"/>
              </w:rPr>
              <w:br w:type="textWrapping"/>
            </w:r>
            <w:r>
              <w:rPr>
                <w:rFonts w:ascii="Times New Roman" w:hAnsi="Times New Roman" w:eastAsia="楷体_GB2312"/>
                <w:sz w:val="24"/>
              </w:rPr>
              <w:t>联系人：【】</w:t>
            </w:r>
          </w:p>
        </w:tc>
      </w:tr>
    </w:tbl>
    <w:p w14:paraId="40F04E42">
      <w:pPr>
        <w:numPr>
          <w:ilvl w:val="1"/>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一方通讯地址或联络方式发生变化，应自发生变化之日起</w:t>
      </w:r>
      <w:r>
        <w:rPr>
          <w:rFonts w:ascii="Times New Roman" w:hAnsi="Times New Roman" w:eastAsia="楷体_GB2312"/>
          <w:b/>
          <w:sz w:val="24"/>
        </w:rPr>
        <w:t>【】</w:t>
      </w:r>
      <w:r>
        <w:rPr>
          <w:rFonts w:ascii="Times New Roman" w:hAnsi="Times New Roman" w:eastAsia="楷体_GB2312"/>
          <w:sz w:val="24"/>
        </w:rPr>
        <w:t>日内以书面形式通知其他方。如果在“信托终止日”前一个月内发生变化，应在</w:t>
      </w:r>
      <w:r>
        <w:rPr>
          <w:rFonts w:ascii="Times New Roman" w:hAnsi="Times New Roman" w:eastAsia="楷体_GB2312"/>
          <w:b/>
          <w:sz w:val="24"/>
        </w:rPr>
        <w:t>【】</w:t>
      </w:r>
      <w:r>
        <w:rPr>
          <w:rFonts w:ascii="Times New Roman" w:hAnsi="Times New Roman" w:eastAsia="楷体_GB2312"/>
          <w:sz w:val="24"/>
        </w:rPr>
        <w:t>个“工作日”内以书面形式通知其他方。</w:t>
      </w:r>
    </w:p>
    <w:p w14:paraId="5DF706DA">
      <w:pPr>
        <w:numPr>
          <w:ilvl w:val="1"/>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如果通讯地址或联络方式发生变化的一方（简称“变动一方”），未将有关变化及时通知其他方，除非“法律”另有规定，变动一方应对由此而造成的影响和损失承担责任。</w:t>
      </w:r>
    </w:p>
    <w:bookmarkEnd w:id="1695"/>
    <w:p w14:paraId="68CEC0F8">
      <w:pPr>
        <w:numPr>
          <w:ilvl w:val="0"/>
          <w:numId w:val="6"/>
        </w:numPr>
        <w:spacing w:before="156" w:beforeLines="50" w:after="156" w:afterLines="50" w:line="360" w:lineRule="auto"/>
        <w:outlineLvl w:val="0"/>
        <w:rPr>
          <w:rFonts w:ascii="Times New Roman" w:hAnsi="Times New Roman" w:eastAsia="楷体_GB2312"/>
          <w:b/>
          <w:sz w:val="24"/>
        </w:rPr>
      </w:pPr>
      <w:bookmarkStart w:id="1700" w:name="_Toc207007324"/>
      <w:bookmarkStart w:id="1701" w:name="_Toc227694348"/>
      <w:bookmarkStart w:id="1702" w:name="_Toc335661530"/>
      <w:bookmarkStart w:id="1703" w:name="_Toc15369295"/>
      <w:bookmarkStart w:id="1704" w:name="_Toc13816324"/>
      <w:bookmarkStart w:id="1705" w:name="_Toc99420081"/>
      <w:bookmarkStart w:id="1706" w:name="_Toc107783395"/>
      <w:bookmarkStart w:id="1707" w:name="_Toc172438593"/>
      <w:r>
        <w:rPr>
          <w:rFonts w:ascii="Times New Roman" w:hAnsi="Times New Roman" w:eastAsia="楷体_GB2312"/>
          <w:b/>
          <w:sz w:val="24"/>
        </w:rPr>
        <w:t>修改和弃权</w:t>
      </w:r>
      <w:bookmarkEnd w:id="1700"/>
      <w:bookmarkEnd w:id="1701"/>
      <w:bookmarkEnd w:id="1702"/>
    </w:p>
    <w:p w14:paraId="5ECDD9E3">
      <w:pPr>
        <w:numPr>
          <w:ilvl w:val="1"/>
          <w:numId w:val="6"/>
        </w:num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修改和弃权</w:t>
      </w:r>
    </w:p>
    <w:p w14:paraId="1A2CB39B">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本合同项下如有未尽事宜，可由本合同双方协商以书面形式补充，如“受托人”合理地认为该等补充内容可能实质性损害“资产支持证券持有人”的权利，上述补充还须经“资产支持证券持有人大会”书面同意。“受托人”应事先书面通知“评级机构”上述补充。</w:t>
      </w:r>
    </w:p>
    <w:p w14:paraId="3FF3087E">
      <w:pPr>
        <w:numPr>
          <w:ilvl w:val="2"/>
          <w:numId w:val="6"/>
        </w:numPr>
        <w:tabs>
          <w:tab w:val="left" w:pos="900"/>
        </w:tabs>
        <w:spacing w:before="156" w:beforeLines="50" w:after="156" w:afterLines="50" w:line="360" w:lineRule="auto"/>
        <w:ind w:left="1620" w:hanging="769"/>
        <w:rPr>
          <w:rFonts w:ascii="Times New Roman" w:hAnsi="Times New Roman" w:eastAsia="楷体_GB2312"/>
          <w:sz w:val="24"/>
        </w:rPr>
      </w:pPr>
      <w:r>
        <w:rPr>
          <w:rFonts w:ascii="Times New Roman" w:hAnsi="Times New Roman" w:eastAsia="楷体_GB2312"/>
          <w:sz w:val="24"/>
        </w:rPr>
        <w:t>对本合同任何条款的修改、修订或弃权必须以书面形式明示而非默示地做出，并由双方签署；如“受托人”合理地认为该等修改、更正或弃权可能实质性损害“资产支持证券持有人”的权利，上述修改、修订或弃权还须经“资产支持证券持有人大会”书面同意。“受托人”应事先书面通知“评级机构”上述每一个修改、修订或弃权。</w:t>
      </w:r>
    </w:p>
    <w:p w14:paraId="699992AD">
      <w:pPr>
        <w:numPr>
          <w:ilvl w:val="1"/>
          <w:numId w:val="6"/>
        </w:num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无默示弃权</w:t>
      </w:r>
    </w:p>
    <w:p w14:paraId="439CECEF">
      <w:pPr>
        <w:spacing w:before="156" w:beforeLines="50" w:after="156" w:afterLines="50" w:line="360" w:lineRule="auto"/>
        <w:ind w:left="991" w:leftChars="472"/>
        <w:rPr>
          <w:rFonts w:ascii="Times New Roman" w:hAnsi="Times New Roman" w:eastAsia="楷体_GB2312"/>
          <w:sz w:val="24"/>
        </w:rPr>
      </w:pPr>
      <w:r>
        <w:rPr>
          <w:rFonts w:ascii="Times New Roman" w:hAnsi="Times New Roman" w:eastAsia="楷体_GB2312"/>
          <w:sz w:val="24"/>
        </w:rPr>
        <w:t>任何一方未行使或迟延行使本合同项下的任何权利或补救措施，不应被视为放弃该等权利或补救措施。单独或部分行使任何权利或补救措施也不应妨碍进一步行使该权利或补救措施或行使其他权利或补救措施。</w:t>
      </w:r>
    </w:p>
    <w:p w14:paraId="763A70DA">
      <w:pPr>
        <w:numPr>
          <w:ilvl w:val="1"/>
          <w:numId w:val="6"/>
        </w:num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非排他性权利</w:t>
      </w:r>
    </w:p>
    <w:p w14:paraId="3B0847D8">
      <w:pPr>
        <w:spacing w:before="156" w:beforeLines="50" w:after="156" w:afterLines="50" w:line="360" w:lineRule="auto"/>
        <w:ind w:left="991" w:leftChars="472"/>
        <w:rPr>
          <w:rFonts w:ascii="Times New Roman" w:hAnsi="Times New Roman" w:eastAsia="楷体_GB2312"/>
          <w:sz w:val="24"/>
        </w:rPr>
      </w:pPr>
      <w:r>
        <w:rPr>
          <w:rFonts w:ascii="Times New Roman" w:hAnsi="Times New Roman" w:eastAsia="楷体_GB2312"/>
          <w:sz w:val="24"/>
        </w:rPr>
        <w:t>本合同项下的权利和补救措施并不排除“法律”或任何其他“交易文件”规定或约定的任何权利和补救措施。</w:t>
      </w:r>
    </w:p>
    <w:p w14:paraId="47B8EBA1">
      <w:pPr>
        <w:numPr>
          <w:ilvl w:val="0"/>
          <w:numId w:val="6"/>
        </w:numPr>
        <w:spacing w:before="156" w:beforeLines="50" w:after="156" w:afterLines="50" w:line="360" w:lineRule="auto"/>
        <w:outlineLvl w:val="0"/>
        <w:rPr>
          <w:rFonts w:ascii="Times New Roman" w:hAnsi="Times New Roman" w:eastAsia="楷体_GB2312"/>
          <w:b/>
          <w:sz w:val="24"/>
        </w:rPr>
      </w:pPr>
      <w:bookmarkStart w:id="1708" w:name="_Toc227694349"/>
      <w:bookmarkStart w:id="1709" w:name="_Toc207007325"/>
      <w:bookmarkStart w:id="1710" w:name="_Toc335661531"/>
      <w:r>
        <w:rPr>
          <w:rFonts w:ascii="Times New Roman" w:hAnsi="Times New Roman" w:eastAsia="楷体_GB2312"/>
          <w:b/>
          <w:sz w:val="24"/>
        </w:rPr>
        <w:t>条款的独立性</w:t>
      </w:r>
      <w:bookmarkEnd w:id="1708"/>
      <w:bookmarkEnd w:id="1709"/>
      <w:bookmarkEnd w:id="1710"/>
    </w:p>
    <w:p w14:paraId="1C34683E">
      <w:pPr>
        <w:spacing w:before="156" w:beforeLines="50" w:after="156" w:afterLines="50" w:line="360" w:lineRule="auto"/>
        <w:ind w:left="424" w:leftChars="202"/>
        <w:rPr>
          <w:rFonts w:ascii="Times New Roman" w:hAnsi="Times New Roman" w:eastAsia="楷体_GB2312"/>
          <w:sz w:val="24"/>
        </w:rPr>
      </w:pPr>
      <w:r>
        <w:rPr>
          <w:rFonts w:ascii="Times New Roman" w:hAnsi="Times New Roman" w:eastAsia="楷体_GB2312"/>
          <w:sz w:val="24"/>
        </w:rPr>
        <w:t>在不损害本合同其他约定的情况下，如本合同某一条或更多条款在“中国”“法律”项下是或成为无效的、不合法的或无法强制执行的，或对任何一方或几方是无效的、不合法的或无法强制执行的，在适用“法律”允许的最大限度内，该无效、不合法或无法强制执行不应造成其他条款对本合同任何一方无效、不合法或无法强制执行，或对其他方无效、不合法或无法强制执行。</w:t>
      </w:r>
    </w:p>
    <w:p w14:paraId="218FC374">
      <w:pPr>
        <w:numPr>
          <w:ilvl w:val="0"/>
          <w:numId w:val="6"/>
        </w:numPr>
        <w:spacing w:before="156" w:beforeLines="50" w:after="156" w:afterLines="50" w:line="360" w:lineRule="auto"/>
        <w:outlineLvl w:val="0"/>
        <w:rPr>
          <w:rFonts w:ascii="Times New Roman" w:hAnsi="Times New Roman" w:eastAsia="楷体_GB2312"/>
          <w:b/>
          <w:sz w:val="24"/>
        </w:rPr>
      </w:pPr>
      <w:bookmarkStart w:id="1711" w:name="_Toc227694350"/>
      <w:bookmarkStart w:id="1712" w:name="_Toc207007326"/>
      <w:bookmarkStart w:id="1713" w:name="_Toc335661532"/>
      <w:r>
        <w:rPr>
          <w:rFonts w:ascii="Times New Roman" w:hAnsi="Times New Roman" w:eastAsia="楷体_GB2312"/>
          <w:b/>
          <w:sz w:val="24"/>
        </w:rPr>
        <w:t>合同的生效与终止</w:t>
      </w:r>
      <w:bookmarkEnd w:id="1711"/>
      <w:bookmarkEnd w:id="1712"/>
      <w:bookmarkEnd w:id="1713"/>
    </w:p>
    <w:p w14:paraId="234A0412">
      <w:pPr>
        <w:numPr>
          <w:ilvl w:val="1"/>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本合同经“委托人”和“受托人”的法定代表人或授权代表签字或签章并盖章之日起生效。</w:t>
      </w:r>
    </w:p>
    <w:p w14:paraId="698AF297">
      <w:pPr>
        <w:numPr>
          <w:ilvl w:val="1"/>
          <w:numId w:val="6"/>
        </w:numPr>
        <w:spacing w:before="156" w:beforeLines="50" w:after="156" w:afterLines="50" w:line="360" w:lineRule="auto"/>
        <w:rPr>
          <w:rFonts w:ascii="Times New Roman" w:hAnsi="Times New Roman" w:eastAsia="楷体_GB2312"/>
          <w:sz w:val="24"/>
        </w:rPr>
      </w:pPr>
      <w:bookmarkStart w:id="1714" w:name="_Ref396749305"/>
      <w:r>
        <w:rPr>
          <w:rFonts w:ascii="Times New Roman" w:hAnsi="Times New Roman" w:eastAsia="楷体_GB2312"/>
          <w:sz w:val="24"/>
        </w:rPr>
        <w:t>本合同于“受托人”完成“信托财产”清算、信托清算报告公告期届满且</w:t>
      </w:r>
      <w:r>
        <w:rPr>
          <w:rFonts w:ascii="Times New Roman" w:hAnsi="Times New Roman" w:eastAsia="楷体_GB2312"/>
          <w:color w:val="000000"/>
          <w:sz w:val="24"/>
        </w:rPr>
        <w:t>“</w:t>
      </w:r>
      <w:r>
        <w:rPr>
          <w:rFonts w:hint="eastAsia" w:ascii="Times New Roman" w:hAnsi="Times New Roman" w:eastAsia="楷体_GB2312"/>
          <w:color w:val="000000"/>
          <w:sz w:val="24"/>
        </w:rPr>
        <w:t>信托终止日</w:t>
      </w:r>
      <w:r>
        <w:rPr>
          <w:rFonts w:ascii="Times New Roman" w:hAnsi="Times New Roman" w:eastAsia="楷体_GB2312"/>
          <w:color w:val="000000"/>
          <w:sz w:val="24"/>
        </w:rPr>
        <w:t>”</w:t>
      </w:r>
      <w:r>
        <w:rPr>
          <w:rFonts w:hint="eastAsia" w:ascii="Times New Roman" w:hAnsi="Times New Roman" w:eastAsia="楷体_GB2312"/>
          <w:color w:val="000000"/>
          <w:sz w:val="24"/>
        </w:rPr>
        <w:t>时</w:t>
      </w:r>
      <w:r>
        <w:rPr>
          <w:rFonts w:ascii="Times New Roman" w:hAnsi="Times New Roman" w:eastAsia="楷体_GB2312"/>
          <w:color w:val="000000"/>
          <w:sz w:val="24"/>
        </w:rPr>
        <w:t>“</w:t>
      </w:r>
      <w:r>
        <w:rPr>
          <w:rFonts w:hint="eastAsia" w:ascii="Times New Roman" w:hAnsi="Times New Roman" w:eastAsia="楷体_GB2312"/>
          <w:color w:val="000000"/>
          <w:sz w:val="24"/>
        </w:rPr>
        <w:t>资产支持证券</w:t>
      </w:r>
      <w:r>
        <w:rPr>
          <w:rFonts w:ascii="Times New Roman" w:hAnsi="Times New Roman" w:eastAsia="楷体_GB2312"/>
          <w:color w:val="000000"/>
          <w:sz w:val="24"/>
        </w:rPr>
        <w:t>”</w:t>
      </w:r>
      <w:r>
        <w:rPr>
          <w:rFonts w:hint="eastAsia" w:ascii="Times New Roman" w:hAnsi="Times New Roman" w:eastAsia="楷体_GB2312"/>
          <w:color w:val="000000"/>
          <w:sz w:val="24"/>
        </w:rPr>
        <w:t>未兑付完毕的</w:t>
      </w:r>
      <w:r>
        <w:rPr>
          <w:rFonts w:ascii="Times New Roman" w:hAnsi="Times New Roman" w:eastAsia="楷体_GB2312"/>
          <w:color w:val="000000"/>
          <w:sz w:val="24"/>
        </w:rPr>
        <w:t>“</w:t>
      </w:r>
      <w:r>
        <w:rPr>
          <w:rFonts w:hint="eastAsia" w:ascii="Times New Roman" w:hAnsi="Times New Roman" w:eastAsia="楷体_GB2312"/>
          <w:color w:val="000000"/>
          <w:sz w:val="24"/>
        </w:rPr>
        <w:t>资产支持证券持有人</w:t>
      </w:r>
      <w:r>
        <w:rPr>
          <w:rFonts w:ascii="Times New Roman" w:hAnsi="Times New Roman" w:eastAsia="楷体_GB2312"/>
          <w:color w:val="000000"/>
          <w:sz w:val="24"/>
        </w:rPr>
        <w:t>”</w:t>
      </w:r>
      <w:r>
        <w:rPr>
          <w:rFonts w:hint="eastAsia" w:ascii="Times New Roman" w:hAnsi="Times New Roman" w:eastAsia="楷体_GB2312"/>
          <w:sz w:val="24"/>
        </w:rPr>
        <w:t>未提出</w:t>
      </w:r>
      <w:r>
        <w:rPr>
          <w:rFonts w:ascii="Times New Roman" w:hAnsi="Times New Roman" w:eastAsia="楷体_GB2312"/>
          <w:sz w:val="24"/>
        </w:rPr>
        <w:t>异议时终止。</w:t>
      </w:r>
      <w:bookmarkEnd w:id="1714"/>
    </w:p>
    <w:p w14:paraId="128972B6">
      <w:pPr>
        <w:numPr>
          <w:ilvl w:val="1"/>
          <w:numId w:val="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本合同（以及其他“交易文件”）取消和取代本合同签署前的任何其他协议或承诺，构成双方关于本合同主旨的完整协议。</w:t>
      </w:r>
    </w:p>
    <w:p w14:paraId="3E025A27">
      <w:pPr>
        <w:numPr>
          <w:ilvl w:val="0"/>
          <w:numId w:val="6"/>
        </w:numPr>
        <w:spacing w:before="156" w:beforeLines="50" w:after="156" w:afterLines="50" w:line="360" w:lineRule="auto"/>
        <w:outlineLvl w:val="0"/>
        <w:rPr>
          <w:rFonts w:ascii="Times New Roman" w:hAnsi="Times New Roman" w:eastAsia="楷体_GB2312"/>
          <w:b/>
          <w:sz w:val="24"/>
        </w:rPr>
      </w:pPr>
      <w:bookmarkStart w:id="1715" w:name="_Toc335661533"/>
      <w:bookmarkStart w:id="1716" w:name="_Toc207007327"/>
      <w:bookmarkStart w:id="1717" w:name="_Toc227694351"/>
      <w:r>
        <w:rPr>
          <w:rFonts w:ascii="Times New Roman" w:hAnsi="Times New Roman" w:eastAsia="楷体_GB2312"/>
          <w:b/>
          <w:sz w:val="24"/>
        </w:rPr>
        <w:t>合同文本</w:t>
      </w:r>
      <w:bookmarkEnd w:id="1715"/>
      <w:bookmarkEnd w:id="1716"/>
      <w:bookmarkEnd w:id="1717"/>
    </w:p>
    <w:p w14:paraId="7B49602F">
      <w:pPr>
        <w:spacing w:before="156" w:beforeLines="50" w:after="156" w:afterLines="50" w:line="360" w:lineRule="auto"/>
        <w:ind w:left="424" w:leftChars="202"/>
        <w:rPr>
          <w:rFonts w:ascii="Times New Roman" w:hAnsi="Times New Roman" w:eastAsia="楷体_GB2312"/>
          <w:sz w:val="24"/>
        </w:rPr>
      </w:pPr>
      <w:r>
        <w:rPr>
          <w:rFonts w:ascii="Times New Roman" w:hAnsi="Times New Roman" w:eastAsia="楷体_GB2312"/>
          <w:sz w:val="24"/>
        </w:rPr>
        <w:t>本合同一式【】份，具有同等法律效力；“委托人”、“受托人”各执【】份，其余【】份合同用于与本项目相关的监管报备，在提交报备前留存于“受托人”处。本合同所列附件是本合同不可分割的组成部分。</w:t>
      </w:r>
    </w:p>
    <w:p w14:paraId="48FBD8FE">
      <w:pPr>
        <w:spacing w:before="156" w:beforeLines="50" w:after="156" w:afterLines="50" w:line="360" w:lineRule="auto"/>
        <w:rPr>
          <w:rFonts w:ascii="Times New Roman" w:hAnsi="Times New Roman" w:eastAsia="楷体_GB2312"/>
          <w:i/>
          <w:sz w:val="24"/>
        </w:rPr>
      </w:pPr>
      <w:r>
        <w:rPr>
          <w:rFonts w:ascii="Times New Roman" w:hAnsi="Times New Roman" w:eastAsia="楷体_GB2312"/>
          <w:i/>
          <w:sz w:val="24"/>
        </w:rPr>
        <w:t>（以下无正文）</w:t>
      </w:r>
    </w:p>
    <w:p w14:paraId="00C07419">
      <w:pPr>
        <w:widowControl/>
        <w:spacing w:line="380" w:lineRule="atLeast"/>
        <w:ind w:right="210"/>
        <w:rPr>
          <w:rFonts w:eastAsia="楷体_GB2312"/>
          <w:b/>
          <w:kern w:val="0"/>
          <w:sz w:val="28"/>
          <w:szCs w:val="28"/>
        </w:rPr>
      </w:pPr>
      <w:r>
        <w:rPr>
          <w:rFonts w:ascii="Times New Roman" w:hAnsi="Times New Roman" w:eastAsia="楷体_GB2312"/>
          <w:i/>
          <w:sz w:val="24"/>
        </w:rPr>
        <w:br w:type="page"/>
      </w:r>
      <w:bookmarkEnd w:id="1703"/>
      <w:bookmarkEnd w:id="1704"/>
      <w:bookmarkEnd w:id="1705"/>
      <w:bookmarkEnd w:id="1706"/>
      <w:bookmarkEnd w:id="1707"/>
      <w:bookmarkStart w:id="1718" w:name="_DV_M748"/>
      <w:bookmarkEnd w:id="1718"/>
      <w:bookmarkStart w:id="1719" w:name="_DV_M744"/>
      <w:bookmarkEnd w:id="1719"/>
      <w:bookmarkStart w:id="1720" w:name="_DV_M747"/>
      <w:bookmarkEnd w:id="1720"/>
      <w:bookmarkStart w:id="1721" w:name="_DV_M746"/>
      <w:bookmarkEnd w:id="1721"/>
      <w:bookmarkStart w:id="1722" w:name="_DV_M745"/>
      <w:bookmarkEnd w:id="1722"/>
      <w:bookmarkStart w:id="1723" w:name="_DV_M749"/>
      <w:bookmarkEnd w:id="1723"/>
      <w:r>
        <w:rPr>
          <w:rFonts w:eastAsia="楷体_GB2312"/>
          <w:b/>
          <w:kern w:val="0"/>
          <w:sz w:val="28"/>
          <w:szCs w:val="28"/>
        </w:rPr>
        <w:t>（本页无正文，为编号为【信托合同编号】的《【信托名称】</w:t>
      </w:r>
      <w:r>
        <w:rPr>
          <w:rFonts w:hint="eastAsia" w:eastAsia="楷体_GB2312"/>
          <w:b/>
          <w:kern w:val="0"/>
          <w:sz w:val="28"/>
          <w:szCs w:val="28"/>
        </w:rPr>
        <w:t>之</w:t>
      </w:r>
      <w:r>
        <w:rPr>
          <w:rFonts w:eastAsia="楷体_GB2312"/>
          <w:b/>
          <w:kern w:val="0"/>
          <w:sz w:val="28"/>
          <w:szCs w:val="28"/>
        </w:rPr>
        <w:t>信托合同》</w:t>
      </w:r>
      <w:r>
        <w:rPr>
          <w:rFonts w:eastAsia="楷体_GB2312"/>
          <w:b/>
          <w:sz w:val="28"/>
          <w:szCs w:val="28"/>
        </w:rPr>
        <w:t>签字盖章页</w:t>
      </w:r>
      <w:r>
        <w:rPr>
          <w:rFonts w:eastAsia="楷体_GB2312"/>
          <w:b/>
          <w:kern w:val="0"/>
          <w:sz w:val="28"/>
          <w:szCs w:val="28"/>
        </w:rPr>
        <w:t>）</w:t>
      </w:r>
    </w:p>
    <w:p w14:paraId="7232A52B">
      <w:pPr>
        <w:spacing w:line="480" w:lineRule="auto"/>
        <w:rPr>
          <w:rFonts w:eastAsia="楷体_GB2312"/>
          <w:i/>
          <w:color w:val="000000"/>
          <w:sz w:val="24"/>
        </w:rPr>
      </w:pPr>
    </w:p>
    <w:p w14:paraId="1BF74468">
      <w:pPr>
        <w:spacing w:line="360" w:lineRule="auto"/>
        <w:rPr>
          <w:rFonts w:eastAsia="楷体_GB2312"/>
          <w:color w:val="000000"/>
        </w:rPr>
      </w:pPr>
    </w:p>
    <w:p w14:paraId="78080A71">
      <w:pPr>
        <w:widowControl/>
        <w:jc w:val="left"/>
        <w:rPr>
          <w:rFonts w:eastAsia="楷体_GB2312"/>
          <w:b/>
          <w:kern w:val="0"/>
          <w:sz w:val="28"/>
          <w:szCs w:val="28"/>
        </w:rPr>
      </w:pPr>
      <w:r>
        <w:rPr>
          <w:rFonts w:hint="eastAsia" w:eastAsia="楷体_GB2312"/>
          <w:b/>
          <w:kern w:val="0"/>
          <w:sz w:val="28"/>
          <w:szCs w:val="28"/>
        </w:rPr>
        <w:t>委托人：</w:t>
      </w:r>
      <w:r>
        <w:rPr>
          <w:rFonts w:eastAsia="楷体_GB2312"/>
          <w:b/>
          <w:kern w:val="0"/>
          <w:sz w:val="28"/>
          <w:szCs w:val="28"/>
        </w:rPr>
        <w:t>【发起机构全称】（公章或合同专用章）</w:t>
      </w:r>
    </w:p>
    <w:p w14:paraId="678587E3">
      <w:pPr>
        <w:spacing w:line="380" w:lineRule="atLeast"/>
        <w:rPr>
          <w:rFonts w:eastAsia="楷体_GB2312"/>
          <w:kern w:val="0"/>
          <w:sz w:val="28"/>
          <w:szCs w:val="28"/>
        </w:rPr>
      </w:pPr>
      <w:r>
        <w:rPr>
          <w:rFonts w:eastAsia="楷体_GB2312"/>
          <w:kern w:val="0"/>
          <w:sz w:val="28"/>
          <w:szCs w:val="28"/>
        </w:rPr>
        <w:t>法定代表人或授权</w:t>
      </w:r>
      <w:r>
        <w:rPr>
          <w:rFonts w:hint="eastAsia" w:eastAsia="楷体_GB2312"/>
          <w:kern w:val="0"/>
          <w:sz w:val="28"/>
          <w:szCs w:val="28"/>
        </w:rPr>
        <w:t>代表</w:t>
      </w:r>
      <w:r>
        <w:rPr>
          <w:rFonts w:eastAsia="楷体_GB2312"/>
          <w:kern w:val="0"/>
          <w:sz w:val="28"/>
          <w:szCs w:val="28"/>
        </w:rPr>
        <w:t>：</w:t>
      </w:r>
    </w:p>
    <w:p w14:paraId="08BAEC9B">
      <w:pPr>
        <w:spacing w:before="156" w:beforeLines="50" w:after="156" w:afterLines="50" w:line="360" w:lineRule="auto"/>
        <w:rPr>
          <w:rFonts w:ascii="Times New Roman" w:hAnsi="Times New Roman" w:eastAsia="楷体_GB2312"/>
          <w:sz w:val="28"/>
          <w:szCs w:val="28"/>
        </w:rPr>
      </w:pPr>
      <w:r>
        <w:rPr>
          <w:rFonts w:eastAsia="楷体_GB2312"/>
          <w:sz w:val="28"/>
          <w:szCs w:val="28"/>
        </w:rPr>
        <w:t xml:space="preserve">签署日期：      </w:t>
      </w:r>
      <w:r>
        <w:rPr>
          <w:rFonts w:eastAsia="楷体_GB2312"/>
          <w:kern w:val="0"/>
          <w:sz w:val="28"/>
          <w:szCs w:val="28"/>
        </w:rPr>
        <w:t>年</w:t>
      </w:r>
      <w:r>
        <w:rPr>
          <w:rFonts w:eastAsia="楷体_GB2312"/>
          <w:sz w:val="28"/>
          <w:szCs w:val="28"/>
        </w:rPr>
        <w:t xml:space="preserve">      </w:t>
      </w:r>
      <w:r>
        <w:rPr>
          <w:rFonts w:eastAsia="楷体_GB2312"/>
          <w:kern w:val="0"/>
          <w:sz w:val="28"/>
          <w:szCs w:val="28"/>
        </w:rPr>
        <w:t>月</w:t>
      </w:r>
      <w:r>
        <w:rPr>
          <w:rFonts w:eastAsia="楷体_GB2312"/>
          <w:sz w:val="28"/>
          <w:szCs w:val="28"/>
        </w:rPr>
        <w:t xml:space="preserve">      </w:t>
      </w:r>
      <w:r>
        <w:rPr>
          <w:rFonts w:eastAsia="楷体_GB2312"/>
          <w:kern w:val="0"/>
          <w:sz w:val="28"/>
          <w:szCs w:val="28"/>
        </w:rPr>
        <w:t>日</w:t>
      </w:r>
    </w:p>
    <w:p w14:paraId="0613A152">
      <w:pPr>
        <w:spacing w:before="156" w:beforeLines="50" w:after="156" w:afterLines="50" w:line="360" w:lineRule="auto"/>
        <w:rPr>
          <w:rFonts w:ascii="Times New Roman" w:hAnsi="Times New Roman" w:eastAsia="楷体_GB2312"/>
          <w:sz w:val="28"/>
          <w:szCs w:val="28"/>
        </w:rPr>
      </w:pPr>
    </w:p>
    <w:p w14:paraId="3A20844E">
      <w:pPr>
        <w:widowControl/>
        <w:spacing w:line="380" w:lineRule="atLeast"/>
        <w:ind w:right="210"/>
        <w:rPr>
          <w:rFonts w:eastAsia="楷体_GB2312"/>
          <w:b/>
          <w:kern w:val="0"/>
          <w:sz w:val="28"/>
          <w:szCs w:val="28"/>
        </w:rPr>
      </w:pPr>
      <w:r>
        <w:rPr>
          <w:rFonts w:ascii="Times New Roman" w:hAnsi="Times New Roman" w:eastAsia="楷体_GB2312"/>
          <w:b/>
          <w:sz w:val="28"/>
          <w:szCs w:val="28"/>
        </w:rPr>
        <w:br w:type="page"/>
      </w:r>
      <w:bookmarkStart w:id="1724" w:name="_Hlk93422272"/>
    </w:p>
    <w:p w14:paraId="0C80830C">
      <w:pPr>
        <w:widowControl/>
        <w:spacing w:line="380" w:lineRule="atLeast"/>
        <w:ind w:right="210"/>
        <w:rPr>
          <w:rFonts w:eastAsia="楷体_GB2312"/>
          <w:b/>
          <w:kern w:val="0"/>
          <w:sz w:val="28"/>
          <w:szCs w:val="28"/>
        </w:rPr>
      </w:pPr>
      <w:r>
        <w:rPr>
          <w:rFonts w:eastAsia="楷体_GB2312"/>
          <w:b/>
          <w:kern w:val="0"/>
          <w:sz w:val="28"/>
          <w:szCs w:val="28"/>
        </w:rPr>
        <w:t>（本页无正文，为编号为【信托合同编号】的《【信托名称】</w:t>
      </w:r>
      <w:r>
        <w:rPr>
          <w:rFonts w:hint="eastAsia" w:eastAsia="楷体_GB2312"/>
          <w:b/>
          <w:kern w:val="0"/>
          <w:sz w:val="28"/>
          <w:szCs w:val="28"/>
        </w:rPr>
        <w:t>之</w:t>
      </w:r>
      <w:r>
        <w:rPr>
          <w:rFonts w:eastAsia="楷体_GB2312"/>
          <w:b/>
          <w:kern w:val="0"/>
          <w:sz w:val="28"/>
          <w:szCs w:val="28"/>
        </w:rPr>
        <w:t>信托合同》</w:t>
      </w:r>
      <w:r>
        <w:rPr>
          <w:rFonts w:eastAsia="楷体_GB2312"/>
          <w:b/>
          <w:sz w:val="28"/>
          <w:szCs w:val="28"/>
        </w:rPr>
        <w:t>签字盖章页</w:t>
      </w:r>
      <w:r>
        <w:rPr>
          <w:rFonts w:eastAsia="楷体_GB2312"/>
          <w:b/>
          <w:kern w:val="0"/>
          <w:sz w:val="28"/>
          <w:szCs w:val="28"/>
        </w:rPr>
        <w:t>）</w:t>
      </w:r>
    </w:p>
    <w:bookmarkEnd w:id="1724"/>
    <w:p w14:paraId="39302D9D">
      <w:pPr>
        <w:spacing w:line="360" w:lineRule="auto"/>
        <w:rPr>
          <w:rFonts w:eastAsia="楷体_GB2312"/>
          <w:color w:val="000000"/>
          <w:sz w:val="24"/>
        </w:rPr>
      </w:pPr>
    </w:p>
    <w:p w14:paraId="0852BA1A">
      <w:pPr>
        <w:spacing w:line="360" w:lineRule="auto"/>
        <w:rPr>
          <w:rFonts w:eastAsia="楷体_GB2312"/>
          <w:color w:val="000000"/>
          <w:sz w:val="24"/>
        </w:rPr>
      </w:pPr>
    </w:p>
    <w:p w14:paraId="68BA37A8">
      <w:pPr>
        <w:spacing w:line="380" w:lineRule="atLeast"/>
        <w:rPr>
          <w:rFonts w:eastAsia="楷体_GB2312"/>
          <w:b/>
          <w:kern w:val="0"/>
          <w:sz w:val="28"/>
          <w:szCs w:val="28"/>
        </w:rPr>
      </w:pPr>
      <w:r>
        <w:rPr>
          <w:rFonts w:eastAsia="楷体_GB2312"/>
          <w:b/>
          <w:kern w:val="0"/>
          <w:sz w:val="28"/>
          <w:szCs w:val="28"/>
        </w:rPr>
        <w:t>受托人：【受托机构全称】（公章或合同专用章）</w:t>
      </w:r>
    </w:p>
    <w:p w14:paraId="4AF61B6C">
      <w:pPr>
        <w:spacing w:line="380" w:lineRule="atLeast"/>
        <w:rPr>
          <w:rFonts w:eastAsia="楷体_GB2312"/>
          <w:kern w:val="0"/>
          <w:sz w:val="28"/>
          <w:szCs w:val="28"/>
        </w:rPr>
      </w:pPr>
      <w:r>
        <w:rPr>
          <w:rFonts w:eastAsia="楷体_GB2312"/>
          <w:kern w:val="0"/>
          <w:sz w:val="28"/>
          <w:szCs w:val="28"/>
        </w:rPr>
        <w:t>法定代表人或授权</w:t>
      </w:r>
      <w:r>
        <w:rPr>
          <w:rFonts w:hint="eastAsia" w:eastAsia="楷体_GB2312"/>
          <w:kern w:val="0"/>
          <w:sz w:val="28"/>
          <w:szCs w:val="28"/>
        </w:rPr>
        <w:t>代表</w:t>
      </w:r>
      <w:r>
        <w:rPr>
          <w:rFonts w:eastAsia="楷体_GB2312"/>
          <w:kern w:val="0"/>
          <w:sz w:val="28"/>
          <w:szCs w:val="28"/>
        </w:rPr>
        <w:t>：</w:t>
      </w:r>
    </w:p>
    <w:p w14:paraId="5E86CD95">
      <w:pPr>
        <w:spacing w:before="156" w:beforeLines="50" w:after="156" w:afterLines="50" w:line="360" w:lineRule="auto"/>
        <w:rPr>
          <w:rFonts w:ascii="Times New Roman" w:hAnsi="Times New Roman" w:eastAsia="楷体_GB2312"/>
          <w:sz w:val="24"/>
        </w:rPr>
      </w:pPr>
      <w:r>
        <w:rPr>
          <w:rFonts w:eastAsia="楷体_GB2312"/>
          <w:sz w:val="28"/>
          <w:szCs w:val="28"/>
        </w:rPr>
        <w:t xml:space="preserve">签署日期：      </w:t>
      </w:r>
      <w:r>
        <w:rPr>
          <w:rFonts w:eastAsia="楷体_GB2312"/>
          <w:kern w:val="0"/>
          <w:sz w:val="28"/>
          <w:szCs w:val="28"/>
        </w:rPr>
        <w:t>年</w:t>
      </w:r>
      <w:r>
        <w:rPr>
          <w:rFonts w:eastAsia="楷体_GB2312"/>
          <w:sz w:val="28"/>
          <w:szCs w:val="28"/>
        </w:rPr>
        <w:t xml:space="preserve">      </w:t>
      </w:r>
      <w:r>
        <w:rPr>
          <w:rFonts w:eastAsia="楷体_GB2312"/>
          <w:kern w:val="0"/>
          <w:sz w:val="28"/>
          <w:szCs w:val="28"/>
        </w:rPr>
        <w:t>月</w:t>
      </w:r>
      <w:r>
        <w:rPr>
          <w:rFonts w:eastAsia="楷体_GB2312"/>
          <w:sz w:val="28"/>
          <w:szCs w:val="28"/>
        </w:rPr>
        <w:t xml:space="preserve">      </w:t>
      </w:r>
      <w:r>
        <w:rPr>
          <w:rFonts w:eastAsia="楷体_GB2312"/>
          <w:kern w:val="0"/>
          <w:sz w:val="28"/>
          <w:szCs w:val="28"/>
        </w:rPr>
        <w:t>日</w:t>
      </w:r>
      <w:bookmarkStart w:id="1725" w:name="_Toc201569484"/>
      <w:bookmarkStart w:id="1726" w:name="_Toc335998745"/>
    </w:p>
    <w:p w14:paraId="7489B4AD">
      <w:pPr>
        <w:widowControl/>
        <w:jc w:val="left"/>
        <w:rPr>
          <w:rFonts w:ascii="Times New Roman" w:hAnsi="Times New Roman" w:eastAsia="楷体_GB2312"/>
          <w:b/>
          <w:sz w:val="24"/>
        </w:rPr>
      </w:pPr>
      <w:r>
        <w:rPr>
          <w:rFonts w:ascii="Times New Roman" w:hAnsi="Times New Roman" w:eastAsia="楷体_GB2312"/>
          <w:b/>
          <w:sz w:val="24"/>
        </w:rPr>
        <w:br w:type="page"/>
      </w:r>
    </w:p>
    <w:p w14:paraId="61E55219">
      <w:pPr>
        <w:spacing w:before="156" w:beforeLines="50" w:after="156" w:afterLines="50" w:line="360" w:lineRule="auto"/>
        <w:outlineLvl w:val="0"/>
        <w:rPr>
          <w:rFonts w:ascii="Times New Roman" w:hAnsi="Times New Roman" w:eastAsia="楷体_GB2312"/>
          <w:b/>
          <w:sz w:val="24"/>
        </w:rPr>
      </w:pPr>
      <w:bookmarkStart w:id="1727" w:name="_Toc227694352"/>
      <w:r>
        <w:rPr>
          <w:rFonts w:ascii="Times New Roman" w:hAnsi="Times New Roman" w:eastAsia="楷体_GB2312"/>
          <w:b/>
          <w:sz w:val="24"/>
        </w:rPr>
        <w:t>附件一：资产清单</w:t>
      </w:r>
      <w:bookmarkEnd w:id="1725"/>
      <w:bookmarkEnd w:id="1726"/>
      <w:r>
        <w:rPr>
          <w:rFonts w:ascii="Times New Roman" w:hAnsi="Times New Roman" w:eastAsia="楷体_GB2312"/>
          <w:b/>
          <w:sz w:val="24"/>
        </w:rPr>
        <w:t>格式</w:t>
      </w:r>
      <w:bookmarkEnd w:id="1727"/>
    </w:p>
    <w:p w14:paraId="358B6FA9">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就“委托人”根据“《信托合同》”信托予“受托人”的“资产”而言，“资产清单”应包括以下信息：</w:t>
      </w:r>
    </w:p>
    <w:p w14:paraId="4147736C">
      <w:pPr>
        <w:spacing w:before="156" w:beforeLines="50" w:after="156" w:afterLines="50" w:line="360" w:lineRule="auto"/>
        <w:rPr>
          <w:rFonts w:ascii="Times New Roman" w:hAnsi="Times New Roman" w:eastAsia="楷体_GB2312"/>
          <w:b/>
          <w:i/>
          <w:color w:val="FF0000"/>
          <w:sz w:val="24"/>
        </w:rPr>
      </w:pPr>
      <w:r>
        <w:rPr>
          <w:rFonts w:eastAsia="楷体_GB2312"/>
          <w:b/>
          <w:bCs/>
          <w:i/>
          <w:iCs/>
          <w:color w:val="FF0000"/>
          <w:sz w:val="24"/>
        </w:rPr>
        <w:t>【注：根据具体项目补充相应的资产清单格式</w:t>
      </w:r>
      <w:r>
        <w:rPr>
          <w:rFonts w:hint="eastAsia" w:eastAsia="楷体_GB2312"/>
          <w:b/>
          <w:bCs/>
          <w:i/>
          <w:iCs/>
          <w:color w:val="FF0000"/>
          <w:sz w:val="24"/>
        </w:rPr>
        <w:t>。</w:t>
      </w:r>
      <w:r>
        <w:rPr>
          <w:rFonts w:eastAsia="楷体_GB2312"/>
          <w:b/>
          <w:bCs/>
          <w:i/>
          <w:iCs/>
          <w:color w:val="FF0000"/>
          <w:sz w:val="24"/>
        </w:rPr>
        <w:t>】</w:t>
      </w:r>
    </w:p>
    <w:p w14:paraId="6D23C595">
      <w:pPr>
        <w:spacing w:before="156" w:beforeLines="50" w:after="156" w:afterLines="50" w:line="360" w:lineRule="auto"/>
        <w:rPr>
          <w:rFonts w:ascii="Times New Roman" w:hAnsi="Times New Roman" w:eastAsia="楷体_GB2312"/>
          <w:b/>
          <w:i/>
          <w:color w:val="FF0000"/>
          <w:sz w:val="24"/>
        </w:rPr>
      </w:pPr>
    </w:p>
    <w:p w14:paraId="105FCCAF">
      <w:pPr>
        <w:spacing w:before="156" w:beforeLines="50" w:after="156" w:afterLines="50" w:line="360" w:lineRule="auto"/>
        <w:outlineLvl w:val="0"/>
        <w:rPr>
          <w:rFonts w:ascii="Times New Roman" w:hAnsi="Times New Roman" w:eastAsia="楷体_GB2312"/>
          <w:b/>
          <w:sz w:val="24"/>
        </w:rPr>
      </w:pPr>
      <w:r>
        <w:rPr>
          <w:rFonts w:ascii="Times New Roman" w:hAnsi="Times New Roman" w:eastAsia="楷体_GB2312"/>
          <w:sz w:val="24"/>
        </w:rPr>
        <w:br w:type="page"/>
      </w:r>
      <w:bookmarkStart w:id="1728" w:name="_Toc227694353"/>
      <w:bookmarkStart w:id="1729" w:name="_Toc335998746"/>
      <w:r>
        <w:rPr>
          <w:rFonts w:ascii="Times New Roman" w:hAnsi="Times New Roman" w:eastAsia="楷体_GB2312"/>
          <w:b/>
          <w:sz w:val="24"/>
        </w:rPr>
        <w:t>附件二：确认函格式</w:t>
      </w:r>
      <w:bookmarkEnd w:id="1728"/>
      <w:bookmarkEnd w:id="1729"/>
    </w:p>
    <w:p w14:paraId="463C0A40">
      <w:pPr>
        <w:spacing w:before="156" w:beforeLines="50" w:after="156" w:afterLines="50" w:line="360" w:lineRule="auto"/>
        <w:jc w:val="center"/>
        <w:rPr>
          <w:rFonts w:ascii="Times New Roman" w:hAnsi="Times New Roman" w:eastAsia="楷体_GB2312"/>
          <w:b/>
          <w:sz w:val="24"/>
        </w:rPr>
      </w:pPr>
      <w:r>
        <w:rPr>
          <w:rFonts w:ascii="Times New Roman" w:hAnsi="Times New Roman" w:eastAsia="楷体_GB2312"/>
          <w:b/>
          <w:sz w:val="24"/>
        </w:rPr>
        <w:t>确认函</w:t>
      </w:r>
    </w:p>
    <w:p w14:paraId="08620754">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致：</w:t>
      </w:r>
      <w:r>
        <w:rPr>
          <w:rFonts w:ascii="Times New Roman" w:hAnsi="Times New Roman" w:eastAsia="楷体_GB2312"/>
          <w:sz w:val="24"/>
        </w:rPr>
        <w:tab/>
      </w:r>
      <w:r>
        <w:rPr>
          <w:rFonts w:ascii="Times New Roman" w:hAnsi="Times New Roman" w:eastAsia="楷体_GB2312"/>
          <w:sz w:val="24"/>
        </w:rPr>
        <w:t>【发起机构全称】（“委托人”）</w:t>
      </w:r>
    </w:p>
    <w:p w14:paraId="33BFDF55">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日期_______________</w:t>
      </w:r>
    </w:p>
    <w:p w14:paraId="62E79419">
      <w:pPr>
        <w:spacing w:before="156" w:beforeLines="50" w:after="156" w:afterLines="50" w:line="360" w:lineRule="auto"/>
        <w:ind w:firstLine="480" w:firstLineChars="200"/>
        <w:rPr>
          <w:rFonts w:ascii="Times New Roman" w:hAnsi="Times New Roman" w:eastAsia="楷体_GB2312"/>
          <w:sz w:val="24"/>
        </w:rPr>
      </w:pPr>
      <w:r>
        <w:rPr>
          <w:rFonts w:ascii="Times New Roman" w:hAnsi="Times New Roman" w:eastAsia="楷体_GB2312"/>
          <w:sz w:val="24"/>
        </w:rPr>
        <w:t>根据【发起机构全称】（“委托人”）、【受托机构全称】（“受托人”）于【】年【】月【】日签署的编号为【】的《【信托名称】之信托合同》（“《信托合同》”）第</w:t>
      </w:r>
      <w:r>
        <w:rPr>
          <w:rFonts w:ascii="Times New Roman" w:hAnsi="Times New Roman" w:eastAsia="楷体_GB2312"/>
          <w:sz w:val="24"/>
        </w:rPr>
        <w:fldChar w:fldCharType="begin"/>
      </w:r>
      <w:r>
        <w:rPr>
          <w:rFonts w:ascii="Times New Roman" w:hAnsi="Times New Roman" w:eastAsia="楷体_GB2312"/>
          <w:sz w:val="24"/>
        </w:rPr>
        <w:instrText xml:space="preserve"> REF _Ref340169521 \r \h  \* MERGEFORMAT </w:instrText>
      </w:r>
      <w:r>
        <w:rPr>
          <w:rFonts w:ascii="Times New Roman" w:hAnsi="Times New Roman" w:eastAsia="楷体_GB2312"/>
          <w:sz w:val="24"/>
        </w:rPr>
        <w:fldChar w:fldCharType="separate"/>
      </w:r>
      <w:r>
        <w:rPr>
          <w:rFonts w:ascii="Times New Roman" w:hAnsi="Times New Roman" w:eastAsia="楷体_GB2312"/>
          <w:sz w:val="24"/>
        </w:rPr>
        <w:t>3.10.1</w:t>
      </w:r>
      <w:r>
        <w:rPr>
          <w:rFonts w:ascii="Times New Roman" w:hAnsi="Times New Roman" w:eastAsia="楷体_GB2312"/>
          <w:sz w:val="24"/>
        </w:rPr>
        <w:fldChar w:fldCharType="end"/>
      </w:r>
      <w:r>
        <w:rPr>
          <w:rFonts w:ascii="Times New Roman" w:hAnsi="Times New Roman" w:eastAsia="楷体_GB2312"/>
          <w:sz w:val="24"/>
        </w:rPr>
        <w:t>款的约定，（作为“委托人”）应向我公司（作为“受托人”）交付“资产清单”。</w:t>
      </w:r>
    </w:p>
    <w:p w14:paraId="69296336">
      <w:pPr>
        <w:spacing w:before="156" w:beforeLines="50" w:after="156" w:afterLines="50" w:line="360" w:lineRule="auto"/>
        <w:ind w:firstLine="480" w:firstLineChars="200"/>
        <w:rPr>
          <w:rFonts w:ascii="Times New Roman" w:hAnsi="Times New Roman" w:eastAsia="楷体_GB2312"/>
          <w:sz w:val="24"/>
        </w:rPr>
      </w:pPr>
      <w:r>
        <w:rPr>
          <w:rFonts w:ascii="Times New Roman" w:hAnsi="Times New Roman" w:eastAsia="楷体_GB2312"/>
          <w:sz w:val="24"/>
        </w:rPr>
        <w:t>兹确认，我们已经根据“《信托合同》”的约定收到“资产清单”。</w:t>
      </w:r>
    </w:p>
    <w:p w14:paraId="73D0108A">
      <w:pPr>
        <w:spacing w:before="156" w:beforeLines="50" w:after="156" w:afterLines="50" w:line="360" w:lineRule="auto"/>
        <w:ind w:firstLine="480" w:firstLineChars="200"/>
        <w:rPr>
          <w:rFonts w:ascii="Times New Roman" w:hAnsi="Times New Roman" w:eastAsia="楷体_GB2312"/>
          <w:sz w:val="24"/>
        </w:rPr>
      </w:pPr>
      <w:r>
        <w:rPr>
          <w:rFonts w:ascii="Times New Roman" w:hAnsi="Times New Roman" w:eastAsia="楷体_GB2312"/>
          <w:sz w:val="24"/>
        </w:rPr>
        <w:t>若无相反定义，此处使用的词语和表述与【】年【】月【】日签署的“《信托合同》”和“《主定义表》”中的相同词语和表述具有相同含义。</w:t>
      </w:r>
    </w:p>
    <w:p w14:paraId="10177CFD">
      <w:pPr>
        <w:spacing w:before="156" w:beforeLines="50" w:after="156" w:afterLines="50" w:line="360" w:lineRule="auto"/>
        <w:rPr>
          <w:rFonts w:ascii="Times New Roman" w:hAnsi="Times New Roman" w:eastAsia="楷体_GB2312"/>
          <w:b/>
          <w:sz w:val="28"/>
          <w:szCs w:val="28"/>
        </w:rPr>
      </w:pPr>
    </w:p>
    <w:p w14:paraId="7022BD50">
      <w:pPr>
        <w:spacing w:before="156" w:beforeLines="50" w:after="156" w:afterLines="50" w:line="360" w:lineRule="auto"/>
        <w:rPr>
          <w:rFonts w:ascii="Times New Roman" w:hAnsi="Times New Roman" w:eastAsia="楷体_GB2312"/>
          <w:sz w:val="28"/>
          <w:szCs w:val="28"/>
        </w:rPr>
      </w:pPr>
      <w:r>
        <w:rPr>
          <w:rFonts w:ascii="Times New Roman" w:hAnsi="Times New Roman" w:eastAsia="楷体_GB2312"/>
          <w:b/>
          <w:sz w:val="28"/>
          <w:szCs w:val="28"/>
        </w:rPr>
        <w:t>受托人：【受托机构全称】（公章或合同专用章）</w:t>
      </w:r>
    </w:p>
    <w:p w14:paraId="7FC5AA3C">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8"/>
          <w:szCs w:val="28"/>
        </w:rPr>
        <w:t>法定代表人或授权代表（签字或签章）：</w:t>
      </w:r>
    </w:p>
    <w:p w14:paraId="5D20A985">
      <w:pPr>
        <w:spacing w:before="156" w:beforeLines="50" w:after="156" w:afterLines="50" w:line="360" w:lineRule="auto"/>
        <w:outlineLvl w:val="0"/>
        <w:rPr>
          <w:rFonts w:ascii="Times New Roman" w:hAnsi="Times New Roman" w:eastAsia="楷体_GB2312"/>
          <w:b/>
          <w:sz w:val="24"/>
        </w:rPr>
      </w:pPr>
      <w:r>
        <w:rPr>
          <w:rFonts w:ascii="Times New Roman" w:hAnsi="Times New Roman" w:eastAsia="楷体_GB2312"/>
          <w:sz w:val="24"/>
        </w:rPr>
        <w:br w:type="page"/>
      </w:r>
      <w:bookmarkStart w:id="1730" w:name="_Toc227694354"/>
      <w:bookmarkStart w:id="1731" w:name="_Toc335998747"/>
      <w:bookmarkStart w:id="1732" w:name="_Toc202174951"/>
      <w:bookmarkStart w:id="1733" w:name="_Toc203893111"/>
      <w:r>
        <w:rPr>
          <w:rFonts w:ascii="Times New Roman" w:hAnsi="Times New Roman" w:eastAsia="楷体_GB2312"/>
          <w:b/>
          <w:sz w:val="24"/>
        </w:rPr>
        <w:t>附件三：权利完善通知的格式</w:t>
      </w:r>
      <w:bookmarkEnd w:id="1730"/>
    </w:p>
    <w:p w14:paraId="4914388B">
      <w:pPr>
        <w:spacing w:before="156" w:beforeLines="50" w:after="156" w:afterLines="50" w:line="360" w:lineRule="auto"/>
        <w:jc w:val="center"/>
        <w:rPr>
          <w:rFonts w:ascii="Times New Roman" w:hAnsi="Times New Roman" w:eastAsia="楷体_GB2312"/>
          <w:b/>
          <w:sz w:val="24"/>
        </w:rPr>
      </w:pPr>
      <w:r>
        <w:rPr>
          <w:rFonts w:ascii="Times New Roman" w:hAnsi="Times New Roman" w:eastAsia="楷体_GB2312"/>
          <w:b/>
          <w:sz w:val="24"/>
        </w:rPr>
        <w:t>权利完善通知格式</w:t>
      </w:r>
    </w:p>
    <w:p w14:paraId="27CA158C">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（适用于：1、通知对象为“借款人”；2、发生“权利完善事件”之(a)项、(b)项之情形；3、由委托人通知。）</w:t>
      </w:r>
    </w:p>
    <w:p w14:paraId="0EA968AA">
      <w:p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致：【相关“借款人”的名称和注册地址】</w:t>
      </w:r>
    </w:p>
    <w:p w14:paraId="1420FC34">
      <w:p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抄送：【受托机构全称】</w:t>
      </w:r>
    </w:p>
    <w:p w14:paraId="50782471">
      <w:p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日期_______________</w:t>
      </w:r>
    </w:p>
    <w:p w14:paraId="2C1ADCD1">
      <w:p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敬启者</w:t>
      </w:r>
    </w:p>
    <w:p w14:paraId="1D9608A2">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根据【发起机构全称】（“委托人”）与【受托机构全称】（“受托人”）于【】年【】月【】日签署的编号为【】的“《【信托名称】之信托合同》”（“《信托合同》”）以及委托人和受托人于【】年【】月【】日在【全国性媒体】刊登的信托公告（“信托公告”），委托人已将包括您的“贷款”（具体信息见本通知附件）及其相关的“附属权益”（现有的和将来的、实际的和或有的）全部信托予受托人。</w:t>
      </w:r>
    </w:p>
    <w:p w14:paraId="1FD5E600">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自【】年【】月【】日起，与该笔“贷款”及其相关的“附属权益”有关的所有权利，均由受托人（为资产支持证券持有人的利益）行使，委托人有义务继续履行其在与您的“贷款合同”中应承担的义务。该项转让行为并未改变委托人与您签署的“贷款合同”的其他内容，不会给您的利益带来不利影响。</w:t>
      </w:r>
    </w:p>
    <w:p w14:paraId="6BE55BD9">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自【</w:t>
      </w:r>
      <w:r>
        <w:rPr>
          <w:rFonts w:ascii="Times New Roman" w:hAnsi="Times New Roman" w:eastAsia="楷体_GB2312"/>
          <w:i/>
          <w:sz w:val="24"/>
        </w:rPr>
        <w:t>日期</w:t>
      </w:r>
      <w:r>
        <w:rPr>
          <w:rFonts w:ascii="Times New Roman" w:hAnsi="Times New Roman" w:eastAsia="楷体_GB2312"/>
          <w:sz w:val="24"/>
        </w:rPr>
        <w:t>】起，您应向如下“信托账户”还款，直到“贷款”全部还清或我们向您发出进一步通知。</w:t>
      </w:r>
    </w:p>
    <w:p w14:paraId="59018978">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“信托账户”的信息如下：</w:t>
      </w:r>
    </w:p>
    <w:p w14:paraId="2B03A154">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账号：【】</w:t>
      </w:r>
    </w:p>
    <w:p w14:paraId="4550DA19">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户名：【受托机构全称】</w:t>
      </w:r>
    </w:p>
    <w:p w14:paraId="49CBCEF8">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开户行：【】</w:t>
      </w:r>
    </w:p>
    <w:p w14:paraId="2ACFCA6D">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如果您对本通知内容或您的“贷款”及与其有关的任何付款金额有任何问题，请按如下方式进行查询：</w:t>
      </w:r>
    </w:p>
    <w:p w14:paraId="00957245">
      <w:pPr>
        <w:spacing w:before="156" w:beforeLines="50" w:after="156" w:afterLines="50" w:line="360" w:lineRule="auto"/>
        <w:ind w:left="420"/>
        <w:rPr>
          <w:rFonts w:ascii="Times New Roman" w:hAnsi="Times New Roman" w:eastAsia="楷体_GB2312"/>
          <w:sz w:val="24"/>
        </w:rPr>
      </w:pPr>
      <w:r>
        <w:rPr>
          <w:rFonts w:ascii="Times New Roman" w:hAnsi="Times New Roman" w:eastAsia="楷体_GB2312"/>
          <w:sz w:val="24"/>
        </w:rPr>
        <w:t>联系地址：</w:t>
      </w:r>
      <w:r>
        <w:rPr>
          <w:rFonts w:ascii="Times New Roman" w:hAnsi="Times New Roman" w:eastAsia="楷体_GB2312"/>
          <w:sz w:val="24"/>
        </w:rPr>
        <w:br w:type="textWrapping"/>
      </w:r>
      <w:r>
        <w:rPr>
          <w:rFonts w:ascii="Times New Roman" w:hAnsi="Times New Roman" w:eastAsia="楷体_GB2312"/>
          <w:sz w:val="24"/>
        </w:rPr>
        <w:t>联系人：</w:t>
      </w:r>
      <w:r>
        <w:rPr>
          <w:rFonts w:ascii="Times New Roman" w:hAnsi="Times New Roman" w:eastAsia="楷体_GB2312"/>
          <w:sz w:val="24"/>
        </w:rPr>
        <w:br w:type="textWrapping"/>
      </w:r>
      <w:r>
        <w:rPr>
          <w:rFonts w:ascii="Times New Roman" w:hAnsi="Times New Roman" w:eastAsia="楷体_GB2312"/>
          <w:sz w:val="24"/>
        </w:rPr>
        <w:t>联系电话：</w:t>
      </w:r>
      <w:r>
        <w:rPr>
          <w:rFonts w:ascii="Times New Roman" w:hAnsi="Times New Roman" w:eastAsia="楷体_GB2312"/>
          <w:sz w:val="24"/>
        </w:rPr>
        <w:br w:type="textWrapping"/>
      </w:r>
      <w:r>
        <w:rPr>
          <w:rFonts w:ascii="Times New Roman" w:hAnsi="Times New Roman" w:eastAsia="楷体_GB2312"/>
          <w:sz w:val="24"/>
        </w:rPr>
        <w:t>传真：</w:t>
      </w:r>
    </w:p>
    <w:p w14:paraId="004D7D2A">
      <w:pPr>
        <w:spacing w:before="156" w:beforeLines="50" w:after="156" w:afterLines="50" w:line="360" w:lineRule="auto"/>
        <w:rPr>
          <w:rFonts w:ascii="Times New Roman" w:hAnsi="Times New Roman" w:eastAsia="楷体_GB2312"/>
          <w:sz w:val="24"/>
        </w:rPr>
      </w:pPr>
    </w:p>
    <w:p w14:paraId="37C75B4C">
      <w:p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【发起机构全称】/【发起机构信用卡中心】</w:t>
      </w:r>
      <w:r>
        <w:rPr>
          <w:rFonts w:ascii="Times New Roman" w:hAnsi="Times New Roman" w:eastAsia="楷体_GB2312"/>
          <w:sz w:val="24"/>
        </w:rPr>
        <w:t>（公章）</w:t>
      </w:r>
    </w:p>
    <w:p w14:paraId="760649EF">
      <w:pPr>
        <w:tabs>
          <w:tab w:val="left" w:pos="5520"/>
        </w:tabs>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法定代表人</w:t>
      </w:r>
      <w:r>
        <w:rPr>
          <w:rFonts w:hint="eastAsia" w:ascii="Times New Roman" w:hAnsi="Times New Roman" w:eastAsia="楷体_GB2312"/>
          <w:sz w:val="24"/>
        </w:rPr>
        <w:t>或</w:t>
      </w:r>
      <w:r>
        <w:rPr>
          <w:rFonts w:ascii="Times New Roman" w:hAnsi="Times New Roman" w:eastAsia="楷体_GB2312"/>
          <w:sz w:val="24"/>
        </w:rPr>
        <w:t>负责人或授权代表（签字</w:t>
      </w:r>
      <w:r>
        <w:rPr>
          <w:rFonts w:hint="eastAsia" w:ascii="Times New Roman" w:hAnsi="Times New Roman" w:eastAsia="楷体_GB2312"/>
          <w:sz w:val="24"/>
        </w:rPr>
        <w:t>或签章</w:t>
      </w:r>
      <w:r>
        <w:rPr>
          <w:rFonts w:ascii="Times New Roman" w:hAnsi="Times New Roman" w:eastAsia="楷体_GB2312"/>
          <w:sz w:val="24"/>
        </w:rPr>
        <w:t>）</w:t>
      </w:r>
    </w:p>
    <w:p w14:paraId="6A4F49A9">
      <w:pPr>
        <w:tabs>
          <w:tab w:val="left" w:pos="5880"/>
        </w:tabs>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附件：</w:t>
      </w:r>
    </w:p>
    <w:p w14:paraId="7EC9D1B3">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贷款账号：</w:t>
      </w:r>
    </w:p>
    <w:p w14:paraId="1F7EC327">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借款人名称：</w:t>
      </w:r>
    </w:p>
    <w:p w14:paraId="5D118436">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分期总期数：</w:t>
      </w:r>
    </w:p>
    <w:p w14:paraId="0409EBAE">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分期总金额：</w:t>
      </w:r>
    </w:p>
    <w:p w14:paraId="0BA32072">
      <w:pPr>
        <w:spacing w:before="156" w:beforeLines="50" w:after="156" w:afterLines="50" w:line="360" w:lineRule="auto"/>
        <w:rPr>
          <w:rFonts w:ascii="Times New Roman" w:hAnsi="Times New Roman" w:eastAsia="楷体_GB2312"/>
          <w:sz w:val="24"/>
          <w:u w:val="single"/>
        </w:rPr>
      </w:pPr>
      <w:r>
        <w:rPr>
          <w:rFonts w:ascii="Times New Roman" w:hAnsi="Times New Roman" w:eastAsia="楷体_GB2312"/>
          <w:sz w:val="24"/>
        </w:rPr>
        <w:t>剩余期数：</w:t>
      </w:r>
    </w:p>
    <w:p w14:paraId="0C206BAA">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剩余本金余额：</w:t>
      </w:r>
    </w:p>
    <w:p w14:paraId="52CF1FB7">
      <w:pPr>
        <w:spacing w:before="156" w:beforeLines="50" w:after="156" w:afterLines="50" w:line="360" w:lineRule="auto"/>
        <w:rPr>
          <w:rFonts w:ascii="Times New Roman" w:hAnsi="Times New Roman" w:eastAsia="楷体_GB2312"/>
          <w:bCs/>
          <w:sz w:val="24"/>
        </w:rPr>
      </w:pPr>
      <w:r>
        <w:rPr>
          <w:rFonts w:ascii="Times New Roman" w:hAnsi="Times New Roman" w:eastAsia="楷体_GB2312"/>
          <w:bCs/>
          <w:sz w:val="24"/>
        </w:rPr>
        <w:t>每期</w:t>
      </w:r>
      <w:r>
        <w:rPr>
          <w:rFonts w:ascii="Times New Roman" w:hAnsi="Times New Roman" w:eastAsia="楷体_GB2312"/>
          <w:sz w:val="24"/>
        </w:rPr>
        <w:t>手续费</w:t>
      </w:r>
      <w:r>
        <w:rPr>
          <w:rFonts w:ascii="Times New Roman" w:hAnsi="Times New Roman" w:eastAsia="楷体_GB2312"/>
          <w:bCs/>
          <w:sz w:val="24"/>
        </w:rPr>
        <w:t>金额：</w:t>
      </w:r>
    </w:p>
    <w:p w14:paraId="6F0089D7">
      <w:pPr>
        <w:spacing w:before="156" w:beforeLines="50" w:after="156" w:afterLines="50" w:line="360" w:lineRule="auto"/>
        <w:jc w:val="center"/>
        <w:rPr>
          <w:rFonts w:ascii="Times New Roman" w:hAnsi="Times New Roman" w:eastAsia="楷体_GB2312"/>
          <w:b/>
          <w:sz w:val="24"/>
        </w:rPr>
      </w:pPr>
      <w:r>
        <w:rPr>
          <w:rFonts w:ascii="Times New Roman" w:hAnsi="Times New Roman" w:eastAsia="楷体_GB2312"/>
          <w:sz w:val="24"/>
        </w:rPr>
        <w:br w:type="page"/>
      </w:r>
      <w:r>
        <w:rPr>
          <w:rFonts w:ascii="Times New Roman" w:hAnsi="Times New Roman" w:eastAsia="楷体_GB2312"/>
          <w:b/>
          <w:sz w:val="24"/>
        </w:rPr>
        <w:t>权利完善通知格式</w:t>
      </w:r>
    </w:p>
    <w:p w14:paraId="02B4FF8F">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（适用于：1、通知对象为“借款人”；2、发生“权利完善事件”之(c)项、(d)项或（e）项之情形；3、由委托人通知。）</w:t>
      </w:r>
    </w:p>
    <w:p w14:paraId="74BCCD90">
      <w:p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致：【相关“借款人”的名称和注册地址】</w:t>
      </w:r>
    </w:p>
    <w:p w14:paraId="0A270B7F">
      <w:p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日期_______________</w:t>
      </w:r>
    </w:p>
    <w:p w14:paraId="16F0CD33">
      <w:p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敬启者</w:t>
      </w:r>
    </w:p>
    <w:p w14:paraId="2EFCCAA3">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根据【发起机构全称】（“委托人”）与【受托机构全称】（“受托人”）于【】年【】月【】日签署的编号为【】的“《【信托名称】之信托合同》”（“《信托合同》”）以及委托人和受托人于【】年【】月【】日在【全国性媒体】刊登的信托公告（“信托公告”），委托人已将包括您的“贷款”（具体信息见本通知附件）及其相关的“附属权益”（现有的和将来的、实际的和或有的）全部信托予受托人。</w:t>
      </w:r>
    </w:p>
    <w:p w14:paraId="32F69007">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自【】年【】月【】日起，与该笔“贷款”及其相关的“附属权益”有关的所有权利，均由受托人（为资产支持证券持有人的利益）行使，委托人有义务继续履行其在您的“贷款合同”中应承担的义务。该项转让行为并未改变委托人与您签署的“贷款合同”的其他内容，不会给您的利益带来不利影响。</w:t>
      </w:r>
    </w:p>
    <w:p w14:paraId="38003AF4">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根据受托人与委托人于【】年【】月【】日签署的编号为【】的“《【信托名称】服务合同》”（“《服务合同》”），受托人已委托委托人担任您的“贷款”的服务机构，继续处理与您的该笔“贷款”相关的未来收款工作（包括在您违约时，根据“贷款合同”及相关担保协议的约定向您主张权利）；您应继续按照现有方式向委托人还款，直到贷款的款项全部还清或我们向您发出进一步通知。</w:t>
      </w:r>
    </w:p>
    <w:p w14:paraId="7BE27762">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如果您对本通知内容或您的贷款及与其有关的任何付款金额有任何问题，请按如下方式进行查询：</w:t>
      </w:r>
    </w:p>
    <w:p w14:paraId="3A0AD526">
      <w:pPr>
        <w:spacing w:before="156" w:beforeLines="50" w:after="156" w:afterLines="50" w:line="360" w:lineRule="auto"/>
        <w:ind w:left="420"/>
        <w:rPr>
          <w:rFonts w:ascii="Times New Roman" w:hAnsi="Times New Roman" w:eastAsia="楷体_GB2312"/>
          <w:sz w:val="24"/>
        </w:rPr>
      </w:pPr>
      <w:r>
        <w:rPr>
          <w:rFonts w:ascii="Times New Roman" w:hAnsi="Times New Roman" w:eastAsia="楷体_GB2312"/>
          <w:sz w:val="24"/>
        </w:rPr>
        <w:t>联系地址：</w:t>
      </w:r>
      <w:r>
        <w:rPr>
          <w:rFonts w:ascii="Times New Roman" w:hAnsi="Times New Roman" w:eastAsia="楷体_GB2312"/>
          <w:sz w:val="24"/>
        </w:rPr>
        <w:br w:type="textWrapping"/>
      </w:r>
      <w:r>
        <w:rPr>
          <w:rFonts w:ascii="Times New Roman" w:hAnsi="Times New Roman" w:eastAsia="楷体_GB2312"/>
          <w:sz w:val="24"/>
        </w:rPr>
        <w:t>联系人：</w:t>
      </w:r>
      <w:r>
        <w:rPr>
          <w:rFonts w:ascii="Times New Roman" w:hAnsi="Times New Roman" w:eastAsia="楷体_GB2312"/>
          <w:sz w:val="24"/>
        </w:rPr>
        <w:br w:type="textWrapping"/>
      </w:r>
      <w:r>
        <w:rPr>
          <w:rFonts w:ascii="Times New Roman" w:hAnsi="Times New Roman" w:eastAsia="楷体_GB2312"/>
          <w:sz w:val="24"/>
        </w:rPr>
        <w:t>联系电话：</w:t>
      </w:r>
      <w:r>
        <w:rPr>
          <w:rFonts w:ascii="Times New Roman" w:hAnsi="Times New Roman" w:eastAsia="楷体_GB2312"/>
          <w:sz w:val="24"/>
        </w:rPr>
        <w:br w:type="textWrapping"/>
      </w:r>
      <w:r>
        <w:rPr>
          <w:rFonts w:ascii="Times New Roman" w:hAnsi="Times New Roman" w:eastAsia="楷体_GB2312"/>
          <w:sz w:val="24"/>
        </w:rPr>
        <w:t>传真：</w:t>
      </w:r>
    </w:p>
    <w:p w14:paraId="4C9FF808">
      <w:pPr>
        <w:spacing w:before="156" w:beforeLines="50" w:after="156" w:afterLines="50" w:line="360" w:lineRule="auto"/>
        <w:rPr>
          <w:rFonts w:ascii="Times New Roman" w:hAnsi="Times New Roman" w:eastAsia="楷体_GB2312"/>
          <w:sz w:val="24"/>
        </w:rPr>
      </w:pPr>
    </w:p>
    <w:p w14:paraId="2FFB33F5">
      <w:p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【发起机构全称】/【发起机构信用卡中心】</w:t>
      </w:r>
      <w:r>
        <w:rPr>
          <w:rFonts w:ascii="Times New Roman" w:hAnsi="Times New Roman" w:eastAsia="楷体_GB2312"/>
          <w:sz w:val="24"/>
        </w:rPr>
        <w:t>（公章）</w:t>
      </w:r>
    </w:p>
    <w:p w14:paraId="53050ACE">
      <w:pPr>
        <w:tabs>
          <w:tab w:val="left" w:pos="5520"/>
        </w:tabs>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法定代表人</w:t>
      </w:r>
      <w:r>
        <w:rPr>
          <w:rFonts w:hint="eastAsia" w:ascii="Times New Roman" w:hAnsi="Times New Roman" w:eastAsia="楷体_GB2312"/>
          <w:sz w:val="24"/>
        </w:rPr>
        <w:t>或</w:t>
      </w:r>
      <w:r>
        <w:rPr>
          <w:rFonts w:ascii="Times New Roman" w:hAnsi="Times New Roman" w:eastAsia="楷体_GB2312"/>
          <w:sz w:val="24"/>
        </w:rPr>
        <w:t>负责人或授权代表（签字</w:t>
      </w:r>
      <w:r>
        <w:rPr>
          <w:rFonts w:hint="eastAsia" w:ascii="Times New Roman" w:hAnsi="Times New Roman" w:eastAsia="楷体_GB2312"/>
          <w:sz w:val="24"/>
        </w:rPr>
        <w:t>或签章</w:t>
      </w:r>
      <w:r>
        <w:rPr>
          <w:rFonts w:ascii="Times New Roman" w:hAnsi="Times New Roman" w:eastAsia="楷体_GB2312"/>
          <w:sz w:val="24"/>
        </w:rPr>
        <w:t>）</w:t>
      </w:r>
    </w:p>
    <w:p w14:paraId="037C61A6">
      <w:pPr>
        <w:tabs>
          <w:tab w:val="left" w:pos="5880"/>
        </w:tabs>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附件：</w:t>
      </w:r>
    </w:p>
    <w:p w14:paraId="55BAC47E">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贷款账号：</w:t>
      </w:r>
    </w:p>
    <w:p w14:paraId="7910EF89">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借款人名称：</w:t>
      </w:r>
    </w:p>
    <w:p w14:paraId="19C24BD7">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分期总期数：</w:t>
      </w:r>
    </w:p>
    <w:p w14:paraId="4DE42E54">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分期总金额：</w:t>
      </w:r>
    </w:p>
    <w:p w14:paraId="45D22156">
      <w:pPr>
        <w:spacing w:before="156" w:beforeLines="50" w:after="156" w:afterLines="50" w:line="360" w:lineRule="auto"/>
        <w:rPr>
          <w:rFonts w:ascii="Times New Roman" w:hAnsi="Times New Roman" w:eastAsia="楷体_GB2312"/>
          <w:sz w:val="24"/>
          <w:u w:val="single"/>
        </w:rPr>
      </w:pPr>
      <w:r>
        <w:rPr>
          <w:rFonts w:ascii="Times New Roman" w:hAnsi="Times New Roman" w:eastAsia="楷体_GB2312"/>
          <w:sz w:val="24"/>
        </w:rPr>
        <w:t>剩余期数：</w:t>
      </w:r>
    </w:p>
    <w:p w14:paraId="2955AB66">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剩余本金余额：</w:t>
      </w:r>
    </w:p>
    <w:p w14:paraId="569D22A6">
      <w:pPr>
        <w:spacing w:before="156" w:beforeLines="50" w:after="156" w:afterLines="50" w:line="360" w:lineRule="auto"/>
        <w:rPr>
          <w:rFonts w:ascii="Times New Roman" w:hAnsi="Times New Roman" w:eastAsia="楷体_GB2312"/>
          <w:sz w:val="24"/>
        </w:rPr>
      </w:pPr>
      <w:r>
        <w:rPr>
          <w:rFonts w:ascii="Times New Roman" w:hAnsi="Times New Roman" w:eastAsia="楷体_GB2312"/>
          <w:bCs/>
          <w:sz w:val="24"/>
        </w:rPr>
        <w:t>每期</w:t>
      </w:r>
      <w:r>
        <w:rPr>
          <w:rFonts w:ascii="Times New Roman" w:hAnsi="Times New Roman" w:eastAsia="楷体_GB2312"/>
          <w:sz w:val="24"/>
        </w:rPr>
        <w:t>手续费</w:t>
      </w:r>
      <w:r>
        <w:rPr>
          <w:rFonts w:ascii="Times New Roman" w:hAnsi="Times New Roman" w:eastAsia="楷体_GB2312"/>
          <w:bCs/>
          <w:sz w:val="24"/>
        </w:rPr>
        <w:t>金额：</w:t>
      </w:r>
    </w:p>
    <w:p w14:paraId="654715CA">
      <w:pPr>
        <w:spacing w:before="156" w:beforeLines="50" w:after="156" w:afterLines="50" w:line="360" w:lineRule="auto"/>
        <w:ind w:left="420"/>
        <w:rPr>
          <w:rFonts w:ascii="Times New Roman" w:hAnsi="Times New Roman" w:eastAsia="楷体_GB2312"/>
          <w:sz w:val="24"/>
        </w:rPr>
      </w:pPr>
      <w:r>
        <w:rPr>
          <w:rFonts w:ascii="Times New Roman" w:hAnsi="Times New Roman" w:eastAsia="楷体_GB2312"/>
          <w:sz w:val="24"/>
        </w:rPr>
        <w:br w:type="page"/>
      </w:r>
    </w:p>
    <w:p w14:paraId="731BDE44">
      <w:pPr>
        <w:spacing w:before="156" w:beforeLines="50" w:after="156" w:afterLines="50" w:line="360" w:lineRule="auto"/>
        <w:jc w:val="center"/>
        <w:rPr>
          <w:rFonts w:ascii="Times New Roman" w:hAnsi="Times New Roman" w:eastAsia="楷体_GB2312"/>
          <w:b/>
          <w:sz w:val="24"/>
        </w:rPr>
      </w:pPr>
      <w:r>
        <w:rPr>
          <w:rFonts w:ascii="Times New Roman" w:hAnsi="Times New Roman" w:eastAsia="楷体_GB2312"/>
          <w:b/>
          <w:sz w:val="24"/>
        </w:rPr>
        <w:t>权利完善通知格式</w:t>
      </w:r>
    </w:p>
    <w:p w14:paraId="0F2AC886">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（适用于：1、通知对象为担保人；2、发生“权利完善事件”之(a)项、(b)项之情形；3、由委托人通知。）</w:t>
      </w:r>
    </w:p>
    <w:p w14:paraId="775B6CDB">
      <w:p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致：【相关担保人的名称和地址】</w:t>
      </w:r>
    </w:p>
    <w:p w14:paraId="096C05E6">
      <w:p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日期_______________</w:t>
      </w:r>
    </w:p>
    <w:p w14:paraId="102AF13E">
      <w:p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敬启者</w:t>
      </w:r>
    </w:p>
    <w:p w14:paraId="5A75A333">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根据【发起机构全称】（“委托人”）与【受托机构全称】（“受托人”）于【】年【】月【】日签署的编号为【】的“《【信托名称】之信托合同》”（“《信托合同》”）以及委托人和受托人于【】年【】月【】日在【公共媒体】刊登的信托公告（“信托公告”），委托人已将包括您所担保的“贷款”（具体信息见本通知附件）及其相关的“附属权益”（现有的和将来的、实际的和或有的）全部信托予受托人。</w:t>
      </w:r>
    </w:p>
    <w:p w14:paraId="6E02C6E6">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自【】年【】月【】日起，与该笔“贷款”及相关的“附属权益”有关的所有权利，均由受托人（为资产支持证券持有人的利益）行使，委托人有义务继续履行其在“贷款合同”和担保合同中应承担的义务。该项转让行为并未改变委托人与借款人签署的“贷款合同”以及委托人与您签署的担保合同的其他内容，不会给您的利益带来不利影响。</w:t>
      </w:r>
    </w:p>
    <w:p w14:paraId="7B954A8E">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自【】年【】月【】日起，您履行担保责任时，应向如下“信托账户”还款，直到贷款的款项全部还清或我们向您发出进一步通知。</w:t>
      </w:r>
    </w:p>
    <w:p w14:paraId="295A2418">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“信托账户”的信息如下：</w:t>
      </w:r>
    </w:p>
    <w:p w14:paraId="022785F6">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账号【】：</w:t>
      </w:r>
    </w:p>
    <w:p w14:paraId="414AEEA8">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户名：【受托机构全称】</w:t>
      </w:r>
    </w:p>
    <w:p w14:paraId="72B27707">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开户行：【】</w:t>
      </w:r>
    </w:p>
    <w:p w14:paraId="438D29C6">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如果您对本通知内容或您所担保的“贷款”的转让有任何问题，请按如下方式进行查询：</w:t>
      </w:r>
    </w:p>
    <w:p w14:paraId="19886FDE">
      <w:pPr>
        <w:spacing w:before="156" w:beforeLines="50" w:after="156" w:afterLines="50" w:line="360" w:lineRule="auto"/>
        <w:ind w:left="420"/>
        <w:rPr>
          <w:rFonts w:ascii="Times New Roman" w:hAnsi="Times New Roman" w:eastAsia="楷体_GB2312"/>
          <w:sz w:val="24"/>
        </w:rPr>
      </w:pPr>
      <w:r>
        <w:rPr>
          <w:rFonts w:ascii="Times New Roman" w:hAnsi="Times New Roman" w:eastAsia="楷体_GB2312"/>
          <w:sz w:val="24"/>
        </w:rPr>
        <w:t>联系地址：</w:t>
      </w:r>
      <w:r>
        <w:rPr>
          <w:rFonts w:ascii="Times New Roman" w:hAnsi="Times New Roman" w:eastAsia="楷体_GB2312"/>
          <w:sz w:val="24"/>
        </w:rPr>
        <w:br w:type="textWrapping"/>
      </w:r>
      <w:r>
        <w:rPr>
          <w:rFonts w:ascii="Times New Roman" w:hAnsi="Times New Roman" w:eastAsia="楷体_GB2312"/>
          <w:sz w:val="24"/>
        </w:rPr>
        <w:t>联系人：</w:t>
      </w:r>
      <w:r>
        <w:rPr>
          <w:rFonts w:ascii="Times New Roman" w:hAnsi="Times New Roman" w:eastAsia="楷体_GB2312"/>
          <w:sz w:val="24"/>
        </w:rPr>
        <w:br w:type="textWrapping"/>
      </w:r>
      <w:r>
        <w:rPr>
          <w:rFonts w:ascii="Times New Roman" w:hAnsi="Times New Roman" w:eastAsia="楷体_GB2312"/>
          <w:sz w:val="24"/>
        </w:rPr>
        <w:t>联系电话：</w:t>
      </w:r>
      <w:r>
        <w:rPr>
          <w:rFonts w:ascii="Times New Roman" w:hAnsi="Times New Roman" w:eastAsia="楷体_GB2312"/>
          <w:sz w:val="24"/>
        </w:rPr>
        <w:br w:type="textWrapping"/>
      </w:r>
      <w:r>
        <w:rPr>
          <w:rFonts w:ascii="Times New Roman" w:hAnsi="Times New Roman" w:eastAsia="楷体_GB2312"/>
          <w:sz w:val="24"/>
        </w:rPr>
        <w:t>传真：</w:t>
      </w:r>
    </w:p>
    <w:p w14:paraId="22385072">
      <w:pPr>
        <w:spacing w:before="156" w:beforeLines="50" w:after="156" w:afterLines="50" w:line="360" w:lineRule="auto"/>
        <w:rPr>
          <w:rFonts w:ascii="Times New Roman" w:hAnsi="Times New Roman" w:eastAsia="楷体_GB2312"/>
          <w:sz w:val="24"/>
        </w:rPr>
      </w:pPr>
    </w:p>
    <w:p w14:paraId="6572F31D">
      <w:pPr>
        <w:spacing w:before="156" w:beforeLines="50" w:after="156" w:afterLines="50" w:line="360" w:lineRule="auto"/>
        <w:rPr>
          <w:rFonts w:ascii="Times New Roman" w:hAnsi="Times New Roman" w:eastAsia="楷体_GB2312"/>
          <w:sz w:val="24"/>
        </w:rPr>
      </w:pPr>
      <w:r>
        <w:rPr>
          <w:rFonts w:ascii="Times New Roman" w:hAnsi="Times New Roman" w:eastAsia="楷体_GB2312"/>
          <w:b/>
          <w:sz w:val="24"/>
        </w:rPr>
        <w:t>【发起机构全称】【发起机构信用卡中心】</w:t>
      </w:r>
      <w:r>
        <w:rPr>
          <w:rFonts w:ascii="Times New Roman" w:hAnsi="Times New Roman" w:eastAsia="楷体_GB2312"/>
          <w:sz w:val="24"/>
        </w:rPr>
        <w:t>（公章）</w:t>
      </w:r>
    </w:p>
    <w:p w14:paraId="05E5873D">
      <w:pPr>
        <w:tabs>
          <w:tab w:val="left" w:pos="5520"/>
        </w:tabs>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负责人或授权代表（签字）</w:t>
      </w:r>
    </w:p>
    <w:p w14:paraId="5181F19F">
      <w:pPr>
        <w:tabs>
          <w:tab w:val="left" w:pos="5880"/>
        </w:tabs>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附件：</w:t>
      </w:r>
    </w:p>
    <w:p w14:paraId="011F3F07">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贷款账号：</w:t>
      </w:r>
    </w:p>
    <w:p w14:paraId="26C18FFD">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借款人名称：</w:t>
      </w:r>
    </w:p>
    <w:p w14:paraId="6ABDA956">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分期总期数：</w:t>
      </w:r>
    </w:p>
    <w:p w14:paraId="09163814">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分期总金额：</w:t>
      </w:r>
    </w:p>
    <w:p w14:paraId="3471FB62">
      <w:pPr>
        <w:spacing w:before="156" w:beforeLines="50" w:after="156" w:afterLines="50" w:line="360" w:lineRule="auto"/>
        <w:rPr>
          <w:rFonts w:ascii="Times New Roman" w:hAnsi="Times New Roman" w:eastAsia="楷体_GB2312"/>
          <w:sz w:val="24"/>
          <w:u w:val="single"/>
        </w:rPr>
      </w:pPr>
      <w:r>
        <w:rPr>
          <w:rFonts w:ascii="Times New Roman" w:hAnsi="Times New Roman" w:eastAsia="楷体_GB2312"/>
          <w:sz w:val="24"/>
        </w:rPr>
        <w:t>剩余期数：</w:t>
      </w:r>
    </w:p>
    <w:p w14:paraId="13C5A736">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剩余本金余额：</w:t>
      </w:r>
    </w:p>
    <w:p w14:paraId="20AC7678">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每期手续费金额：</w:t>
      </w:r>
    </w:p>
    <w:p w14:paraId="1349A7BF">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担保方式：</w:t>
      </w:r>
    </w:p>
    <w:p w14:paraId="0BB50F2D">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担保合同编号：</w:t>
      </w:r>
    </w:p>
    <w:p w14:paraId="3C13DB15">
      <w:pPr>
        <w:spacing w:before="156" w:beforeLines="50" w:after="156" w:afterLines="50" w:line="360" w:lineRule="auto"/>
        <w:jc w:val="center"/>
        <w:rPr>
          <w:rFonts w:ascii="Times New Roman" w:hAnsi="Times New Roman" w:eastAsia="楷体_GB2312"/>
          <w:b/>
          <w:sz w:val="24"/>
        </w:rPr>
      </w:pPr>
      <w:r>
        <w:rPr>
          <w:rFonts w:ascii="Times New Roman" w:hAnsi="Times New Roman" w:eastAsia="楷体_GB2312"/>
          <w:sz w:val="24"/>
        </w:rPr>
        <w:br w:type="page"/>
      </w:r>
      <w:r>
        <w:rPr>
          <w:rFonts w:ascii="Times New Roman" w:hAnsi="Times New Roman" w:eastAsia="楷体_GB2312"/>
          <w:b/>
          <w:sz w:val="24"/>
        </w:rPr>
        <w:t>权利完善通知格式</w:t>
      </w:r>
    </w:p>
    <w:p w14:paraId="60C89523">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（适用于：1、通知对象为担保人；2、发生“权利完善事件”之(c)项、(d)项或(e)项之情形；3、由委托人通知。）</w:t>
      </w:r>
    </w:p>
    <w:p w14:paraId="0A0E37C2">
      <w:p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致：【相关担保人的名称和注册地址】</w:t>
      </w:r>
    </w:p>
    <w:p w14:paraId="5E7DD15C">
      <w:p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日期_______________</w:t>
      </w:r>
    </w:p>
    <w:p w14:paraId="1BD5A5FE">
      <w:p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敬启者</w:t>
      </w:r>
    </w:p>
    <w:p w14:paraId="6E4DC681">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根据【发起机构全称】（“委托人”）与【受托机构全称】（“受托人”）于【】年【】月【】日签署的编号为【】的“《【信托名称】之信托合同》”（“《信托合同》”）以及委托人和受托人于【】年【】月【】日在【公共媒体】刊登的信托公告（“信托公告”），委托人已将包括您担保的“贷款”（具体信息见本通知附件）及其“附属权益”（现有的和将来的、实际的和或有的）全部信托予受托人。</w:t>
      </w:r>
    </w:p>
    <w:p w14:paraId="38C53CC6">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自【】年【】月【】日起，与该笔“贷款”及相关“附属权益”有关的所有权利，均由受托人（为资产支持证券持有人的利益）行使，委托人有义务继续履行其在“贷款合同”和担保合同中应承担的义务。该项转让行为并未改变委托人与借款人签署的贷款合同的其他内容以及委托人与您签署的担保合同的其他内容，不会给您的利益带来不利影响。</w:t>
      </w:r>
    </w:p>
    <w:p w14:paraId="01B93FCA">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根据受托人与委托人于【】年【】月【】签署的“《【信托名称】服务合同》”（“《服务合同》”），受托人已委托委托人担任您担保的贷款的贷款服务机构，继续处理与您担保的该笔贷款相关的未来收款工作（包括在您违约时，根据贷款合同及相关担保合同的约定向借款人或您主张权利）；您应继续履行原担保合同项下的担保义务。</w:t>
      </w:r>
    </w:p>
    <w:p w14:paraId="3AD0E347">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如果您对本通知内容或您所担保的“贷款”的转让有任何问题，请按如下方式进行查询：</w:t>
      </w:r>
    </w:p>
    <w:p w14:paraId="7AABEBCA">
      <w:pPr>
        <w:spacing w:before="156" w:beforeLines="50" w:after="156" w:afterLines="50" w:line="360" w:lineRule="auto"/>
        <w:ind w:left="420"/>
        <w:rPr>
          <w:rFonts w:ascii="Times New Roman" w:hAnsi="Times New Roman" w:eastAsia="楷体_GB2312"/>
          <w:sz w:val="24"/>
        </w:rPr>
      </w:pPr>
      <w:r>
        <w:rPr>
          <w:rFonts w:ascii="Times New Roman" w:hAnsi="Times New Roman" w:eastAsia="楷体_GB2312"/>
          <w:sz w:val="24"/>
        </w:rPr>
        <w:t>联系地址：</w:t>
      </w:r>
      <w:r>
        <w:rPr>
          <w:rFonts w:ascii="Times New Roman" w:hAnsi="Times New Roman" w:eastAsia="楷体_GB2312"/>
          <w:sz w:val="24"/>
        </w:rPr>
        <w:br w:type="textWrapping"/>
      </w:r>
      <w:r>
        <w:rPr>
          <w:rFonts w:ascii="Times New Roman" w:hAnsi="Times New Roman" w:eastAsia="楷体_GB2312"/>
          <w:sz w:val="24"/>
        </w:rPr>
        <w:t>联系人：</w:t>
      </w:r>
      <w:r>
        <w:rPr>
          <w:rFonts w:ascii="Times New Roman" w:hAnsi="Times New Roman" w:eastAsia="楷体_GB2312"/>
          <w:sz w:val="24"/>
        </w:rPr>
        <w:br w:type="textWrapping"/>
      </w:r>
      <w:r>
        <w:rPr>
          <w:rFonts w:ascii="Times New Roman" w:hAnsi="Times New Roman" w:eastAsia="楷体_GB2312"/>
          <w:sz w:val="24"/>
        </w:rPr>
        <w:t>联系电话：</w:t>
      </w:r>
      <w:r>
        <w:rPr>
          <w:rFonts w:ascii="Times New Roman" w:hAnsi="Times New Roman" w:eastAsia="楷体_GB2312"/>
          <w:sz w:val="24"/>
        </w:rPr>
        <w:br w:type="textWrapping"/>
      </w:r>
      <w:r>
        <w:rPr>
          <w:rFonts w:ascii="Times New Roman" w:hAnsi="Times New Roman" w:eastAsia="楷体_GB2312"/>
          <w:sz w:val="24"/>
        </w:rPr>
        <w:t>传真：</w:t>
      </w:r>
    </w:p>
    <w:p w14:paraId="3081A2CA">
      <w:pPr>
        <w:spacing w:before="156" w:beforeLines="50" w:after="156" w:afterLines="50" w:line="360" w:lineRule="auto"/>
        <w:rPr>
          <w:rFonts w:ascii="Times New Roman" w:hAnsi="Times New Roman" w:eastAsia="楷体_GB2312"/>
          <w:sz w:val="24"/>
        </w:rPr>
      </w:pPr>
    </w:p>
    <w:p w14:paraId="784EE357">
      <w:pPr>
        <w:spacing w:before="156" w:beforeLines="50" w:after="156" w:afterLines="50" w:line="360" w:lineRule="auto"/>
        <w:rPr>
          <w:rFonts w:ascii="Times New Roman" w:hAnsi="Times New Roman" w:eastAsia="楷体_GB2312"/>
          <w:sz w:val="24"/>
        </w:rPr>
      </w:pPr>
      <w:r>
        <w:rPr>
          <w:rFonts w:ascii="Times New Roman" w:hAnsi="Times New Roman" w:eastAsia="楷体_GB2312"/>
          <w:b/>
          <w:sz w:val="24"/>
        </w:rPr>
        <w:t>【发起机构全称】【发起机构信用卡中心】</w:t>
      </w:r>
      <w:r>
        <w:rPr>
          <w:rFonts w:ascii="Times New Roman" w:hAnsi="Times New Roman" w:eastAsia="楷体_GB2312"/>
          <w:sz w:val="24"/>
        </w:rPr>
        <w:t>（公章）</w:t>
      </w:r>
    </w:p>
    <w:p w14:paraId="05747725">
      <w:pPr>
        <w:tabs>
          <w:tab w:val="left" w:pos="5520"/>
        </w:tabs>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负责人或授权代表（签字）</w:t>
      </w:r>
    </w:p>
    <w:p w14:paraId="600B87B4">
      <w:pPr>
        <w:tabs>
          <w:tab w:val="left" w:pos="5880"/>
        </w:tabs>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附件：</w:t>
      </w:r>
    </w:p>
    <w:p w14:paraId="3561E63F">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贷款账号：</w:t>
      </w:r>
    </w:p>
    <w:p w14:paraId="07CAE145">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借款人名称：</w:t>
      </w:r>
    </w:p>
    <w:p w14:paraId="0D30DA81">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分期总期数：</w:t>
      </w:r>
    </w:p>
    <w:p w14:paraId="263B3073">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分期总金额：</w:t>
      </w:r>
    </w:p>
    <w:p w14:paraId="47BE7E59">
      <w:pPr>
        <w:spacing w:before="156" w:beforeLines="50" w:after="156" w:afterLines="50" w:line="360" w:lineRule="auto"/>
        <w:rPr>
          <w:rFonts w:ascii="Times New Roman" w:hAnsi="Times New Roman" w:eastAsia="楷体_GB2312"/>
          <w:sz w:val="24"/>
          <w:u w:val="single"/>
        </w:rPr>
      </w:pPr>
      <w:r>
        <w:rPr>
          <w:rFonts w:ascii="Times New Roman" w:hAnsi="Times New Roman" w:eastAsia="楷体_GB2312"/>
          <w:sz w:val="24"/>
        </w:rPr>
        <w:t>剩余期数：</w:t>
      </w:r>
    </w:p>
    <w:p w14:paraId="7201FC9D">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剩余本金余额：</w:t>
      </w:r>
    </w:p>
    <w:p w14:paraId="5144FC89">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每期手续费金额：</w:t>
      </w:r>
    </w:p>
    <w:p w14:paraId="5E98E404">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担保方式：</w:t>
      </w:r>
    </w:p>
    <w:p w14:paraId="2A705BE6">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担保合同编号：</w:t>
      </w:r>
    </w:p>
    <w:p w14:paraId="3382565B">
      <w:pPr>
        <w:spacing w:before="156" w:beforeLines="50" w:after="156" w:afterLines="50" w:line="360" w:lineRule="auto"/>
        <w:outlineLvl w:val="0"/>
        <w:rPr>
          <w:rFonts w:ascii="Times New Roman" w:hAnsi="Times New Roman" w:eastAsia="楷体_GB2312"/>
          <w:b/>
          <w:sz w:val="24"/>
        </w:rPr>
      </w:pPr>
      <w:r>
        <w:rPr>
          <w:rFonts w:ascii="Times New Roman" w:hAnsi="Times New Roman" w:eastAsia="楷体_GB2312"/>
          <w:sz w:val="24"/>
        </w:rPr>
        <w:br w:type="page"/>
      </w:r>
      <w:bookmarkStart w:id="1734" w:name="_Toc227694355"/>
      <w:r>
        <w:rPr>
          <w:rFonts w:ascii="Times New Roman" w:hAnsi="Times New Roman" w:eastAsia="楷体_GB2312"/>
          <w:b/>
          <w:sz w:val="24"/>
        </w:rPr>
        <w:t>附件四：授权书的格式</w:t>
      </w:r>
      <w:bookmarkEnd w:id="1734"/>
    </w:p>
    <w:p w14:paraId="2A37A5B2">
      <w:pPr>
        <w:spacing w:before="156" w:beforeLines="50" w:after="156" w:afterLines="50" w:line="360" w:lineRule="auto"/>
        <w:jc w:val="center"/>
        <w:rPr>
          <w:rFonts w:ascii="Times New Roman" w:hAnsi="Times New Roman" w:eastAsia="楷体_GB2312"/>
          <w:b/>
          <w:sz w:val="24"/>
        </w:rPr>
      </w:pPr>
      <w:r>
        <w:rPr>
          <w:rFonts w:ascii="Times New Roman" w:hAnsi="Times New Roman" w:eastAsia="楷体_GB2312"/>
          <w:b/>
          <w:sz w:val="24"/>
        </w:rPr>
        <w:t>权利完善通知之授权书</w:t>
      </w:r>
    </w:p>
    <w:p w14:paraId="33DC5FD4">
      <w:p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【受托机构全称】：</w:t>
      </w:r>
    </w:p>
    <w:p w14:paraId="28550A67">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鉴于本行作为委托人，于【】年【】月【】日与贵公司签署了编号为【】的《【信托名称】之信托合同》（“《信托合同》”），将“资产”信托予贵公司，设立【信托名称】。根据《信托合同》第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_Ref221481084 \r \h </w:instrText>
      </w:r>
      <w:r>
        <w:rPr>
          <w:rFonts w:ascii="Times New Roman" w:hAnsi="Times New Roman" w:eastAsia="楷体_GB2312"/>
          <w:sz w:val="24"/>
        </w:rPr>
        <w:fldChar w:fldCharType="separate"/>
      </w:r>
      <w:r>
        <w:rPr>
          <w:rFonts w:ascii="Times New Roman" w:hAnsi="Times New Roman" w:eastAsia="楷体_GB2312"/>
          <w:sz w:val="24"/>
        </w:rPr>
        <w:t>5.1</w:t>
      </w:r>
      <w:r>
        <w:rPr>
          <w:rFonts w:ascii="Times New Roman" w:hAnsi="Times New Roman" w:eastAsia="楷体_GB2312"/>
          <w:sz w:val="24"/>
        </w:rPr>
        <w:fldChar w:fldCharType="end"/>
      </w:r>
      <w:r>
        <w:rPr>
          <w:rFonts w:ascii="Times New Roman" w:hAnsi="Times New Roman" w:eastAsia="楷体_GB2312"/>
          <w:sz w:val="24"/>
        </w:rPr>
        <w:t>款的约定，发生“权利完善事件”后的</w:t>
      </w:r>
      <w:r>
        <w:rPr>
          <w:rFonts w:ascii="Times New Roman" w:hAnsi="Times New Roman" w:eastAsia="楷体_GB2312"/>
          <w:b/>
          <w:sz w:val="24"/>
        </w:rPr>
        <w:t>【】</w:t>
      </w:r>
      <w:r>
        <w:rPr>
          <w:rFonts w:ascii="Times New Roman" w:hAnsi="Times New Roman" w:eastAsia="楷体_GB2312"/>
          <w:sz w:val="24"/>
        </w:rPr>
        <w:t>个“工作日”内，本行应以挂号信或特快专递的方式发出“权利完善通知”（格式见《信托合同》附件三）。根据《信托合同》第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_Ref201652377 \r \h </w:instrText>
      </w:r>
      <w:r>
        <w:rPr>
          <w:rFonts w:ascii="Times New Roman" w:hAnsi="Times New Roman" w:eastAsia="楷体_GB2312"/>
          <w:sz w:val="24"/>
        </w:rPr>
        <w:fldChar w:fldCharType="separate"/>
      </w:r>
      <w:r>
        <w:rPr>
          <w:rFonts w:ascii="Times New Roman" w:hAnsi="Times New Roman" w:eastAsia="楷体_GB2312"/>
          <w:sz w:val="24"/>
        </w:rPr>
        <w:t>5.2</w:t>
      </w:r>
      <w:r>
        <w:rPr>
          <w:rFonts w:ascii="Times New Roman" w:hAnsi="Times New Roman" w:eastAsia="楷体_GB2312"/>
          <w:sz w:val="24"/>
        </w:rPr>
        <w:fldChar w:fldCharType="end"/>
      </w:r>
      <w:r>
        <w:rPr>
          <w:rFonts w:ascii="Times New Roman" w:hAnsi="Times New Roman" w:eastAsia="楷体_GB2312"/>
          <w:sz w:val="24"/>
        </w:rPr>
        <w:t>款的约定，本行在此无条件、不可撤销地向贵公司授权如下：</w:t>
      </w:r>
    </w:p>
    <w:p w14:paraId="617CE8B5">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如果本行未按照《信托合同》第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_Ref221481084 \r \h </w:instrText>
      </w:r>
      <w:r>
        <w:rPr>
          <w:rFonts w:ascii="Times New Roman" w:hAnsi="Times New Roman" w:eastAsia="楷体_GB2312"/>
          <w:sz w:val="24"/>
        </w:rPr>
        <w:fldChar w:fldCharType="separate"/>
      </w:r>
      <w:r>
        <w:rPr>
          <w:rFonts w:ascii="Times New Roman" w:hAnsi="Times New Roman" w:eastAsia="楷体_GB2312"/>
          <w:sz w:val="24"/>
        </w:rPr>
        <w:t>5.1</w:t>
      </w:r>
      <w:r>
        <w:rPr>
          <w:rFonts w:ascii="Times New Roman" w:hAnsi="Times New Roman" w:eastAsia="楷体_GB2312"/>
          <w:sz w:val="24"/>
        </w:rPr>
        <w:fldChar w:fldCharType="end"/>
      </w:r>
      <w:r>
        <w:rPr>
          <w:rFonts w:ascii="Times New Roman" w:hAnsi="Times New Roman" w:eastAsia="楷体_GB2312"/>
          <w:sz w:val="24"/>
        </w:rPr>
        <w:t>款的约定履行发送“权利完善通知”的义务，本行无条件、不可撤销地授权贵公司以本行的名义代为履行《信托合同》第</w:t>
      </w:r>
      <w:r>
        <w:rPr>
          <w:rFonts w:ascii="Times New Roman" w:hAnsi="Times New Roman" w:eastAsia="楷体_GB2312"/>
          <w:sz w:val="24"/>
        </w:rPr>
        <w:fldChar w:fldCharType="begin"/>
      </w:r>
      <w:r>
        <w:rPr>
          <w:rFonts w:ascii="Times New Roman" w:hAnsi="Times New Roman" w:eastAsia="楷体_GB2312"/>
          <w:sz w:val="24"/>
        </w:rPr>
        <w:instrText xml:space="preserve"> REF _Ref221481084 \r \h </w:instrText>
      </w:r>
      <w:r>
        <w:rPr>
          <w:rFonts w:ascii="Times New Roman" w:hAnsi="Times New Roman" w:eastAsia="楷体_GB2312"/>
          <w:sz w:val="24"/>
        </w:rPr>
        <w:fldChar w:fldCharType="separate"/>
      </w:r>
      <w:r>
        <w:rPr>
          <w:rFonts w:ascii="Times New Roman" w:hAnsi="Times New Roman" w:eastAsia="楷体_GB2312"/>
          <w:sz w:val="24"/>
        </w:rPr>
        <w:t>5.1</w:t>
      </w:r>
      <w:r>
        <w:rPr>
          <w:rFonts w:ascii="Times New Roman" w:hAnsi="Times New Roman" w:eastAsia="楷体_GB2312"/>
          <w:sz w:val="24"/>
        </w:rPr>
        <w:fldChar w:fldCharType="end"/>
      </w:r>
      <w:r>
        <w:rPr>
          <w:rFonts w:ascii="Times New Roman" w:hAnsi="Times New Roman" w:eastAsia="楷体_GB2312"/>
          <w:sz w:val="24"/>
        </w:rPr>
        <w:t>款约定的通知义务，并同意认可和确认贵公司根据本授权书合法做出的合理行为。</w:t>
      </w:r>
    </w:p>
    <w:p w14:paraId="0FF8590C">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除上下文特别说明以外，本授权书中所使用的词语，与《【信托名称】主定义表》中所定义的相应词语，具有相同的含义。</w:t>
      </w:r>
    </w:p>
    <w:p w14:paraId="457CED69">
      <w:pPr>
        <w:spacing w:before="156" w:beforeLines="50" w:after="156" w:afterLines="50" w:line="360" w:lineRule="auto"/>
        <w:ind w:firstLine="420"/>
        <w:rPr>
          <w:rFonts w:ascii="Times New Roman" w:hAnsi="Times New Roman" w:eastAsia="楷体_GB2312"/>
          <w:sz w:val="24"/>
        </w:rPr>
      </w:pPr>
      <w:r>
        <w:rPr>
          <w:rFonts w:ascii="Times New Roman" w:hAnsi="Times New Roman" w:eastAsia="楷体_GB2312"/>
          <w:sz w:val="24"/>
        </w:rPr>
        <w:t>本授权书的有效期为自签署之日起至信托清算完毕之日止。</w:t>
      </w:r>
    </w:p>
    <w:p w14:paraId="64ACBCFE">
      <w:pPr>
        <w:spacing w:before="156" w:beforeLines="50" w:after="156" w:afterLines="50" w:line="360" w:lineRule="auto"/>
        <w:jc w:val="right"/>
        <w:rPr>
          <w:rFonts w:ascii="Times New Roman" w:hAnsi="Times New Roman" w:eastAsia="楷体_GB2312"/>
          <w:sz w:val="24"/>
        </w:rPr>
      </w:pPr>
      <w:r>
        <w:rPr>
          <w:rFonts w:ascii="Times New Roman" w:hAnsi="Times New Roman" w:eastAsia="楷体_GB2312"/>
          <w:sz w:val="24"/>
        </w:rPr>
        <w:t>【发起机构全称】/【发起机构信用卡中心】（公章）</w:t>
      </w:r>
    </w:p>
    <w:p w14:paraId="51DB5309">
      <w:pPr>
        <w:spacing w:before="156" w:beforeLines="50" w:after="156" w:afterLines="50" w:line="360" w:lineRule="auto"/>
        <w:jc w:val="right"/>
        <w:rPr>
          <w:rFonts w:ascii="Times New Roman" w:hAnsi="Times New Roman" w:eastAsia="楷体_GB2312"/>
          <w:sz w:val="24"/>
        </w:rPr>
      </w:pPr>
      <w:r>
        <w:rPr>
          <w:rFonts w:ascii="Times New Roman" w:hAnsi="Times New Roman" w:eastAsia="楷体_GB2312"/>
          <w:sz w:val="24"/>
        </w:rPr>
        <w:t>法定代表人</w:t>
      </w:r>
      <w:r>
        <w:rPr>
          <w:rFonts w:hint="eastAsia" w:ascii="Times New Roman" w:hAnsi="Times New Roman" w:eastAsia="楷体_GB2312"/>
          <w:sz w:val="24"/>
        </w:rPr>
        <w:t>或</w:t>
      </w:r>
      <w:r>
        <w:rPr>
          <w:rFonts w:ascii="Times New Roman" w:hAnsi="Times New Roman" w:eastAsia="楷体_GB2312"/>
          <w:sz w:val="24"/>
        </w:rPr>
        <w:t>负责人或授权代表（签字</w:t>
      </w:r>
      <w:r>
        <w:rPr>
          <w:rFonts w:hint="eastAsia" w:ascii="Times New Roman" w:hAnsi="Times New Roman" w:eastAsia="楷体_GB2312"/>
          <w:sz w:val="24"/>
        </w:rPr>
        <w:t>或签章</w:t>
      </w:r>
      <w:r>
        <w:rPr>
          <w:rFonts w:ascii="Times New Roman" w:hAnsi="Times New Roman" w:eastAsia="楷体_GB2312"/>
          <w:sz w:val="24"/>
        </w:rPr>
        <w:t>）</w:t>
      </w:r>
    </w:p>
    <w:p w14:paraId="660D5649">
      <w:pPr>
        <w:spacing w:before="156" w:beforeLines="50" w:after="156" w:afterLines="50" w:line="360" w:lineRule="auto"/>
        <w:jc w:val="right"/>
        <w:rPr>
          <w:rFonts w:ascii="Times New Roman" w:hAnsi="Times New Roman" w:eastAsia="楷体_GB2312"/>
        </w:rPr>
      </w:pPr>
      <w:r>
        <w:rPr>
          <w:rFonts w:ascii="Times New Roman" w:hAnsi="Times New Roman" w:eastAsia="楷体_GB2312"/>
          <w:sz w:val="24"/>
        </w:rPr>
        <w:t>20【】年【】月【】日</w:t>
      </w:r>
    </w:p>
    <w:p w14:paraId="28B41C71">
      <w:pPr>
        <w:spacing w:before="156" w:beforeLines="50" w:after="156" w:afterLines="50" w:line="360" w:lineRule="auto"/>
        <w:jc w:val="center"/>
        <w:outlineLvl w:val="0"/>
        <w:rPr>
          <w:rFonts w:ascii="Times New Roman" w:hAnsi="Times New Roman" w:eastAsia="楷体_GB2312"/>
          <w:b/>
          <w:sz w:val="24"/>
        </w:rPr>
      </w:pPr>
      <w:r>
        <w:rPr>
          <w:rFonts w:ascii="Times New Roman" w:hAnsi="Times New Roman" w:eastAsia="楷体_GB2312"/>
          <w:b/>
          <w:sz w:val="24"/>
        </w:rPr>
        <w:br w:type="page"/>
      </w:r>
      <w:bookmarkStart w:id="1735" w:name="_Toc227694356"/>
      <w:r>
        <w:rPr>
          <w:rFonts w:ascii="Times New Roman" w:hAnsi="Times New Roman" w:eastAsia="楷体_GB2312"/>
          <w:b/>
          <w:sz w:val="24"/>
        </w:rPr>
        <w:t>附件五：资产支持证券本金还款金额计算方式</w:t>
      </w:r>
      <w:bookmarkEnd w:id="1735"/>
    </w:p>
    <w:p w14:paraId="20B3E070">
      <w:pPr>
        <w:spacing w:before="156" w:beforeLines="50" w:after="156" w:afterLines="50" w:line="360" w:lineRule="auto"/>
        <w:jc w:val="center"/>
        <w:rPr>
          <w:rFonts w:ascii="Times New Roman" w:hAnsi="Times New Roman" w:eastAsia="楷体_GB2312"/>
          <w:b/>
          <w:sz w:val="24"/>
        </w:rPr>
      </w:pPr>
      <w:r>
        <w:rPr>
          <w:rFonts w:ascii="Times New Roman" w:hAnsi="Times New Roman" w:eastAsia="楷体_GB2312"/>
          <w:b/>
          <w:sz w:val="24"/>
        </w:rPr>
        <w:t>资产支持证券本金还款金额计算方式</w:t>
      </w:r>
    </w:p>
    <w:p w14:paraId="2FB5E3CF">
      <w:pPr>
        <w:spacing w:before="156" w:beforeLines="50" w:after="156" w:afterLines="50" w:line="360" w:lineRule="auto"/>
        <w:ind w:firstLine="480" w:firstLineChars="200"/>
        <w:rPr>
          <w:rFonts w:ascii="Times New Roman" w:hAnsi="Times New Roman" w:eastAsia="楷体_GB2312"/>
          <w:sz w:val="24"/>
        </w:rPr>
      </w:pPr>
      <w:r>
        <w:rPr>
          <w:rFonts w:ascii="Times New Roman" w:hAnsi="Times New Roman" w:eastAsia="楷体_GB2312"/>
          <w:sz w:val="24"/>
        </w:rPr>
        <w:t>任何一期（“本期”）的资产支持证券的本金还款金额按照如下方式计算：</w:t>
      </w:r>
    </w:p>
    <w:p w14:paraId="6FF13BBC">
      <w:pPr>
        <w:spacing w:before="156" w:beforeLines="50" w:after="156" w:afterLines="50" w:line="360" w:lineRule="auto"/>
        <w:ind w:firstLine="480" w:firstLineChars="200"/>
        <w:rPr>
          <w:rFonts w:ascii="Times New Roman" w:hAnsi="Times New Roman" w:eastAsia="楷体_GB2312"/>
          <w:sz w:val="24"/>
        </w:rPr>
      </w:pPr>
      <w:r>
        <w:rPr>
          <w:rFonts w:ascii="Times New Roman" w:hAnsi="Times New Roman" w:eastAsia="楷体_GB2312"/>
          <w:sz w:val="24"/>
        </w:rPr>
        <w:t>本期每百元面额兑付本金额计算时采用去尾法取位到人民币分位，不做四舍五入进位，由此产生的本金还款金额余额部分转存下一期（“转存下期本金还款金额”），与下一期本金还款金额合并后，计算该下一期本金还款金额。以后各期的本金还款金额计算依此类推。</w:t>
      </w:r>
    </w:p>
    <w:p w14:paraId="148D9CB3">
      <w:pPr>
        <w:spacing w:before="156" w:beforeLines="50" w:after="156" w:afterLines="50" w:line="360" w:lineRule="auto"/>
        <w:rPr>
          <w:rFonts w:ascii="Times New Roman" w:hAnsi="Times New Roman" w:eastAsia="楷体_GB2312"/>
          <w:sz w:val="24"/>
        </w:rPr>
      </w:pPr>
    </w:p>
    <w:tbl>
      <w:tblPr>
        <w:tblStyle w:val="30"/>
        <w:tblW w:w="0" w:type="auto"/>
        <w:tblInd w:w="0"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17"/>
        <w:gridCol w:w="2016"/>
        <w:gridCol w:w="2080"/>
        <w:gridCol w:w="2109"/>
      </w:tblGrid>
      <w:tr w14:paraId="20AED040">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2317" w:type="dxa"/>
            <w:tcBorders>
              <w:bottom w:val="single" w:color="008000" w:sz="6" w:space="0"/>
            </w:tcBorders>
          </w:tcPr>
          <w:p w14:paraId="17C14D2E">
            <w:pPr>
              <w:spacing w:before="156" w:beforeLines="50" w:after="156" w:afterLines="50" w:line="360" w:lineRule="auto"/>
              <w:rPr>
                <w:rFonts w:ascii="Times New Roman" w:hAnsi="Times New Roman" w:eastAsia="楷体_GB2312"/>
              </w:rPr>
            </w:pPr>
          </w:p>
        </w:tc>
        <w:tc>
          <w:tcPr>
            <w:tcW w:w="2016" w:type="dxa"/>
            <w:tcBorders>
              <w:bottom w:val="single" w:color="008000" w:sz="6" w:space="0"/>
            </w:tcBorders>
          </w:tcPr>
          <w:p w14:paraId="6DBAA27E">
            <w:pPr>
              <w:spacing w:before="156" w:beforeLines="50" w:after="156" w:afterLines="50" w:line="360" w:lineRule="auto"/>
              <w:rPr>
                <w:rFonts w:ascii="Times New Roman" w:hAnsi="Times New Roman" w:eastAsia="楷体_GB2312"/>
              </w:rPr>
            </w:pPr>
            <w:r>
              <w:rPr>
                <w:rFonts w:ascii="Times New Roman" w:hAnsi="Times New Roman" w:eastAsia="楷体_GB2312"/>
                <w:sz w:val="24"/>
              </w:rPr>
              <w:t>优先A级资产支持证券</w:t>
            </w:r>
          </w:p>
        </w:tc>
        <w:tc>
          <w:tcPr>
            <w:tcW w:w="2080" w:type="dxa"/>
            <w:tcBorders>
              <w:bottom w:val="single" w:color="008000" w:sz="6" w:space="0"/>
            </w:tcBorders>
          </w:tcPr>
          <w:p w14:paraId="2BF8B23D">
            <w:pPr>
              <w:spacing w:before="156" w:beforeLines="50" w:after="156" w:afterLines="50" w:line="360" w:lineRule="auto"/>
              <w:rPr>
                <w:rFonts w:ascii="Times New Roman" w:hAnsi="Times New Roman" w:eastAsia="楷体_GB2312"/>
              </w:rPr>
            </w:pPr>
            <w:r>
              <w:rPr>
                <w:rFonts w:ascii="Times New Roman" w:hAnsi="Times New Roman" w:eastAsia="楷体_GB2312"/>
                <w:sz w:val="24"/>
              </w:rPr>
              <w:t>优先B级资产支持证券</w:t>
            </w:r>
          </w:p>
        </w:tc>
        <w:tc>
          <w:tcPr>
            <w:tcW w:w="2109" w:type="dxa"/>
            <w:tcBorders>
              <w:bottom w:val="single" w:color="008000" w:sz="6" w:space="0"/>
            </w:tcBorders>
          </w:tcPr>
          <w:p w14:paraId="7EDA8860">
            <w:pPr>
              <w:spacing w:before="156" w:beforeLines="50" w:after="156" w:afterLines="50" w:line="360" w:lineRule="auto"/>
              <w:rPr>
                <w:rFonts w:ascii="Times New Roman" w:hAnsi="Times New Roman" w:eastAsia="楷体_GB2312"/>
              </w:rPr>
            </w:pPr>
            <w:r>
              <w:rPr>
                <w:rFonts w:ascii="Times New Roman" w:hAnsi="Times New Roman" w:eastAsia="楷体_GB2312"/>
                <w:sz w:val="24"/>
              </w:rPr>
              <w:t>次级资产支持证券</w:t>
            </w:r>
          </w:p>
        </w:tc>
      </w:tr>
      <w:tr w14:paraId="780582D8">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2317" w:type="dxa"/>
          </w:tcPr>
          <w:p w14:paraId="6D77E703">
            <w:pPr>
              <w:spacing w:before="156" w:beforeLines="50" w:after="156" w:afterLines="50" w:line="360" w:lineRule="auto"/>
              <w:rPr>
                <w:rFonts w:ascii="Times New Roman" w:hAnsi="Times New Roman" w:eastAsia="楷体_GB2312"/>
                <w:sz w:val="22"/>
              </w:rPr>
            </w:pPr>
            <w:r>
              <w:rPr>
                <w:rFonts w:ascii="Times New Roman" w:hAnsi="Times New Roman" w:eastAsia="楷体_GB2312"/>
                <w:sz w:val="22"/>
              </w:rPr>
              <w:t>本期可分配本金总额</w:t>
            </w:r>
            <w:r>
              <w:rPr>
                <w:rFonts w:ascii="Times New Roman" w:hAnsi="Times New Roman" w:eastAsia="楷体_GB2312"/>
                <w:sz w:val="22"/>
                <w:vertAlign w:val="superscript"/>
              </w:rPr>
              <w:t>1</w:t>
            </w:r>
          </w:p>
        </w:tc>
        <w:tc>
          <w:tcPr>
            <w:tcW w:w="2016" w:type="dxa"/>
          </w:tcPr>
          <w:p w14:paraId="2BE64E09">
            <w:pPr>
              <w:spacing w:before="156" w:beforeLines="50" w:after="156" w:afterLines="50" w:line="360" w:lineRule="auto"/>
              <w:rPr>
                <w:rFonts w:ascii="Times New Roman" w:hAnsi="Times New Roman" w:eastAsia="楷体_GB2312"/>
              </w:rPr>
            </w:pPr>
          </w:p>
        </w:tc>
        <w:tc>
          <w:tcPr>
            <w:tcW w:w="2080" w:type="dxa"/>
          </w:tcPr>
          <w:p w14:paraId="3D4C7122">
            <w:pPr>
              <w:spacing w:before="156" w:beforeLines="50" w:after="156" w:afterLines="50" w:line="360" w:lineRule="auto"/>
              <w:rPr>
                <w:rFonts w:ascii="Times New Roman" w:hAnsi="Times New Roman" w:eastAsia="楷体_GB2312"/>
              </w:rPr>
            </w:pPr>
          </w:p>
        </w:tc>
        <w:tc>
          <w:tcPr>
            <w:tcW w:w="2109" w:type="dxa"/>
          </w:tcPr>
          <w:p w14:paraId="389CF23B">
            <w:pPr>
              <w:spacing w:before="156" w:beforeLines="50" w:after="156" w:afterLines="50" w:line="360" w:lineRule="auto"/>
              <w:rPr>
                <w:rFonts w:ascii="Times New Roman" w:hAnsi="Times New Roman" w:eastAsia="楷体_GB2312"/>
              </w:rPr>
            </w:pPr>
          </w:p>
        </w:tc>
      </w:tr>
      <w:tr w14:paraId="35F4A90D">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7" w:hRule="atLeast"/>
        </w:trPr>
        <w:tc>
          <w:tcPr>
            <w:tcW w:w="2317" w:type="dxa"/>
          </w:tcPr>
          <w:p w14:paraId="06798844">
            <w:pPr>
              <w:spacing w:before="156" w:beforeLines="50" w:after="156" w:afterLines="50" w:line="360" w:lineRule="auto"/>
              <w:rPr>
                <w:rFonts w:ascii="Times New Roman" w:hAnsi="Times New Roman" w:eastAsia="楷体_GB2312"/>
                <w:sz w:val="22"/>
              </w:rPr>
            </w:pPr>
            <w:r>
              <w:rPr>
                <w:rFonts w:ascii="Times New Roman" w:hAnsi="Times New Roman" w:eastAsia="楷体_GB2312"/>
                <w:sz w:val="22"/>
              </w:rPr>
              <w:t>本期每百元面额兑付本金额</w:t>
            </w:r>
            <w:r>
              <w:rPr>
                <w:rFonts w:ascii="Times New Roman" w:hAnsi="Times New Roman" w:eastAsia="楷体_GB2312"/>
                <w:sz w:val="22"/>
                <w:vertAlign w:val="superscript"/>
              </w:rPr>
              <w:t>2</w:t>
            </w:r>
            <w:r>
              <w:rPr>
                <w:rFonts w:ascii="Times New Roman" w:hAnsi="Times New Roman" w:eastAsia="楷体_GB2312"/>
                <w:sz w:val="22"/>
              </w:rPr>
              <w:t>（单位：元）</w:t>
            </w:r>
          </w:p>
        </w:tc>
        <w:tc>
          <w:tcPr>
            <w:tcW w:w="2016" w:type="dxa"/>
          </w:tcPr>
          <w:p w14:paraId="7F6D4C7A">
            <w:pPr>
              <w:spacing w:before="156" w:beforeLines="50" w:after="156" w:afterLines="50" w:line="360" w:lineRule="auto"/>
              <w:rPr>
                <w:rFonts w:ascii="Times New Roman" w:hAnsi="Times New Roman" w:eastAsia="楷体_GB2312"/>
              </w:rPr>
            </w:pPr>
          </w:p>
        </w:tc>
        <w:tc>
          <w:tcPr>
            <w:tcW w:w="2080" w:type="dxa"/>
          </w:tcPr>
          <w:p w14:paraId="1F1BD1DE">
            <w:pPr>
              <w:spacing w:before="156" w:beforeLines="50" w:after="156" w:afterLines="50" w:line="360" w:lineRule="auto"/>
              <w:rPr>
                <w:rFonts w:ascii="Times New Roman" w:hAnsi="Times New Roman" w:eastAsia="楷体_GB2312"/>
              </w:rPr>
            </w:pPr>
          </w:p>
        </w:tc>
        <w:tc>
          <w:tcPr>
            <w:tcW w:w="2109" w:type="dxa"/>
          </w:tcPr>
          <w:p w14:paraId="094EFAB5">
            <w:pPr>
              <w:spacing w:before="156" w:beforeLines="50" w:after="156" w:afterLines="50" w:line="360" w:lineRule="auto"/>
              <w:rPr>
                <w:rFonts w:ascii="Times New Roman" w:hAnsi="Times New Roman" w:eastAsia="楷体_GB2312"/>
              </w:rPr>
            </w:pPr>
          </w:p>
        </w:tc>
      </w:tr>
      <w:tr w14:paraId="2FA994DB">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7" w:hRule="atLeast"/>
        </w:trPr>
        <w:tc>
          <w:tcPr>
            <w:tcW w:w="2317" w:type="dxa"/>
          </w:tcPr>
          <w:p w14:paraId="06063384">
            <w:pPr>
              <w:spacing w:before="156" w:beforeLines="50" w:after="156" w:afterLines="50" w:line="360" w:lineRule="auto"/>
              <w:rPr>
                <w:rFonts w:ascii="Times New Roman" w:hAnsi="Times New Roman" w:eastAsia="楷体_GB2312"/>
                <w:sz w:val="22"/>
              </w:rPr>
            </w:pPr>
            <w:r>
              <w:rPr>
                <w:rFonts w:ascii="Times New Roman" w:hAnsi="Times New Roman" w:eastAsia="楷体_GB2312"/>
                <w:sz w:val="22"/>
              </w:rPr>
              <w:t>本期兑付本金总额</w:t>
            </w:r>
            <w:r>
              <w:rPr>
                <w:rFonts w:ascii="Times New Roman" w:hAnsi="Times New Roman" w:eastAsia="楷体_GB2312"/>
                <w:sz w:val="22"/>
                <w:vertAlign w:val="superscript"/>
              </w:rPr>
              <w:t>3</w:t>
            </w:r>
            <w:r>
              <w:rPr>
                <w:rFonts w:ascii="Times New Roman" w:hAnsi="Times New Roman" w:eastAsia="楷体_GB2312"/>
                <w:sz w:val="22"/>
              </w:rPr>
              <w:t>（单位：元）</w:t>
            </w:r>
          </w:p>
        </w:tc>
        <w:tc>
          <w:tcPr>
            <w:tcW w:w="2016" w:type="dxa"/>
          </w:tcPr>
          <w:p w14:paraId="36F2EF9F">
            <w:pPr>
              <w:spacing w:before="156" w:beforeLines="50" w:after="156" w:afterLines="50" w:line="360" w:lineRule="auto"/>
              <w:rPr>
                <w:rFonts w:ascii="Times New Roman" w:hAnsi="Times New Roman" w:eastAsia="楷体_GB2312"/>
              </w:rPr>
            </w:pPr>
          </w:p>
        </w:tc>
        <w:tc>
          <w:tcPr>
            <w:tcW w:w="2080" w:type="dxa"/>
          </w:tcPr>
          <w:p w14:paraId="20DF8819">
            <w:pPr>
              <w:spacing w:before="156" w:beforeLines="50" w:after="156" w:afterLines="50" w:line="360" w:lineRule="auto"/>
              <w:rPr>
                <w:rFonts w:ascii="Times New Roman" w:hAnsi="Times New Roman" w:eastAsia="楷体_GB2312"/>
              </w:rPr>
            </w:pPr>
          </w:p>
        </w:tc>
        <w:tc>
          <w:tcPr>
            <w:tcW w:w="2109" w:type="dxa"/>
          </w:tcPr>
          <w:p w14:paraId="3A74D8AF">
            <w:pPr>
              <w:spacing w:before="156" w:beforeLines="50" w:after="156" w:afterLines="50" w:line="360" w:lineRule="auto"/>
              <w:rPr>
                <w:rFonts w:ascii="Times New Roman" w:hAnsi="Times New Roman" w:eastAsia="楷体_GB2312"/>
              </w:rPr>
            </w:pPr>
          </w:p>
        </w:tc>
      </w:tr>
      <w:tr w14:paraId="4E14CC59">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PrEx>
        <w:trPr>
          <w:trHeight w:val="1234" w:hRule="atLeast"/>
        </w:trPr>
        <w:tc>
          <w:tcPr>
            <w:tcW w:w="2317" w:type="dxa"/>
          </w:tcPr>
          <w:p w14:paraId="17C062E3">
            <w:pPr>
              <w:spacing w:before="156" w:beforeLines="50" w:after="156" w:afterLines="50" w:line="360" w:lineRule="auto"/>
              <w:rPr>
                <w:rFonts w:ascii="Times New Roman" w:hAnsi="Times New Roman" w:eastAsia="楷体_GB2312"/>
                <w:sz w:val="22"/>
              </w:rPr>
            </w:pPr>
            <w:r>
              <w:rPr>
                <w:rFonts w:ascii="Times New Roman" w:hAnsi="Times New Roman" w:eastAsia="楷体_GB2312"/>
                <w:sz w:val="22"/>
              </w:rPr>
              <w:t>转存下期每百元面额本金还款额</w:t>
            </w:r>
            <w:r>
              <w:rPr>
                <w:rFonts w:ascii="Times New Roman" w:hAnsi="Times New Roman" w:eastAsia="楷体_GB2312"/>
                <w:sz w:val="22"/>
                <w:vertAlign w:val="superscript"/>
              </w:rPr>
              <w:t>4</w:t>
            </w:r>
            <w:r>
              <w:rPr>
                <w:rFonts w:ascii="Times New Roman" w:hAnsi="Times New Roman" w:eastAsia="楷体_GB2312"/>
                <w:sz w:val="22"/>
              </w:rPr>
              <w:t>（单位：元）</w:t>
            </w:r>
          </w:p>
        </w:tc>
        <w:tc>
          <w:tcPr>
            <w:tcW w:w="2016" w:type="dxa"/>
          </w:tcPr>
          <w:p w14:paraId="4A9E6353">
            <w:pPr>
              <w:spacing w:before="156" w:beforeLines="50" w:after="156" w:afterLines="50" w:line="360" w:lineRule="auto"/>
              <w:rPr>
                <w:rFonts w:ascii="Times New Roman" w:hAnsi="Times New Roman" w:eastAsia="楷体_GB2312"/>
              </w:rPr>
            </w:pPr>
          </w:p>
        </w:tc>
        <w:tc>
          <w:tcPr>
            <w:tcW w:w="2080" w:type="dxa"/>
          </w:tcPr>
          <w:p w14:paraId="39553E38">
            <w:pPr>
              <w:spacing w:before="156" w:beforeLines="50" w:after="156" w:afterLines="50" w:line="360" w:lineRule="auto"/>
              <w:rPr>
                <w:rFonts w:ascii="Times New Roman" w:hAnsi="Times New Roman" w:eastAsia="楷体_GB2312"/>
              </w:rPr>
            </w:pPr>
          </w:p>
        </w:tc>
        <w:tc>
          <w:tcPr>
            <w:tcW w:w="2109" w:type="dxa"/>
          </w:tcPr>
          <w:p w14:paraId="1640C6BC">
            <w:pPr>
              <w:spacing w:before="156" w:beforeLines="50" w:after="156" w:afterLines="50" w:line="360" w:lineRule="auto"/>
              <w:rPr>
                <w:rFonts w:ascii="Times New Roman" w:hAnsi="Times New Roman" w:eastAsia="楷体_GB2312"/>
              </w:rPr>
            </w:pPr>
          </w:p>
        </w:tc>
      </w:tr>
      <w:tr w14:paraId="30B8E617">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7" w:hRule="atLeast"/>
        </w:trPr>
        <w:tc>
          <w:tcPr>
            <w:tcW w:w="2317" w:type="dxa"/>
            <w:tcBorders>
              <w:top w:val="single" w:color="008000" w:sz="6" w:space="0"/>
            </w:tcBorders>
          </w:tcPr>
          <w:p w14:paraId="0EF05910">
            <w:pPr>
              <w:spacing w:before="156" w:beforeLines="50" w:after="156" w:afterLines="50" w:line="360" w:lineRule="auto"/>
              <w:rPr>
                <w:rFonts w:ascii="Times New Roman" w:hAnsi="Times New Roman" w:eastAsia="楷体_GB2312"/>
                <w:sz w:val="22"/>
              </w:rPr>
            </w:pPr>
            <w:r>
              <w:rPr>
                <w:rFonts w:ascii="Times New Roman" w:hAnsi="Times New Roman" w:eastAsia="楷体_GB2312"/>
                <w:sz w:val="22"/>
              </w:rPr>
              <w:t>转存下期本金还款金额</w:t>
            </w:r>
            <w:r>
              <w:rPr>
                <w:rFonts w:ascii="Times New Roman" w:hAnsi="Times New Roman" w:eastAsia="楷体_GB2312"/>
                <w:sz w:val="22"/>
                <w:vertAlign w:val="superscript"/>
              </w:rPr>
              <w:t>5</w:t>
            </w:r>
            <w:r>
              <w:rPr>
                <w:rFonts w:ascii="Times New Roman" w:hAnsi="Times New Roman" w:eastAsia="楷体_GB2312"/>
                <w:sz w:val="22"/>
              </w:rPr>
              <w:t>（单位：元）</w:t>
            </w:r>
          </w:p>
        </w:tc>
        <w:tc>
          <w:tcPr>
            <w:tcW w:w="2016" w:type="dxa"/>
            <w:tcBorders>
              <w:top w:val="single" w:color="008000" w:sz="6" w:space="0"/>
            </w:tcBorders>
          </w:tcPr>
          <w:p w14:paraId="35956F6A">
            <w:pPr>
              <w:spacing w:before="156" w:beforeLines="50" w:after="156" w:afterLines="50" w:line="360" w:lineRule="auto"/>
              <w:rPr>
                <w:rFonts w:ascii="Times New Roman" w:hAnsi="Times New Roman" w:eastAsia="楷体_GB2312"/>
              </w:rPr>
            </w:pPr>
          </w:p>
        </w:tc>
        <w:tc>
          <w:tcPr>
            <w:tcW w:w="2080" w:type="dxa"/>
            <w:tcBorders>
              <w:top w:val="single" w:color="008000" w:sz="6" w:space="0"/>
            </w:tcBorders>
          </w:tcPr>
          <w:p w14:paraId="40DFFC9D">
            <w:pPr>
              <w:spacing w:before="156" w:beforeLines="50" w:after="156" w:afterLines="50" w:line="360" w:lineRule="auto"/>
              <w:rPr>
                <w:rFonts w:ascii="Times New Roman" w:hAnsi="Times New Roman" w:eastAsia="楷体_GB2312"/>
              </w:rPr>
            </w:pPr>
          </w:p>
        </w:tc>
        <w:tc>
          <w:tcPr>
            <w:tcW w:w="2109" w:type="dxa"/>
            <w:tcBorders>
              <w:top w:val="single" w:color="008000" w:sz="6" w:space="0"/>
            </w:tcBorders>
          </w:tcPr>
          <w:p w14:paraId="6BEAFB55">
            <w:pPr>
              <w:spacing w:before="156" w:beforeLines="50" w:after="156" w:afterLines="50" w:line="360" w:lineRule="auto"/>
              <w:rPr>
                <w:rFonts w:ascii="Times New Roman" w:hAnsi="Times New Roman" w:eastAsia="楷体_GB2312"/>
              </w:rPr>
            </w:pPr>
          </w:p>
        </w:tc>
      </w:tr>
    </w:tbl>
    <w:p w14:paraId="405FBDB9">
      <w:pPr>
        <w:spacing w:before="156" w:beforeLines="50" w:after="156" w:afterLines="50" w:line="360" w:lineRule="auto"/>
        <w:ind w:left="617" w:hanging="616" w:hangingChars="257"/>
        <w:rPr>
          <w:rFonts w:ascii="Times New Roman" w:hAnsi="Times New Roman" w:eastAsia="楷体_GB2312"/>
          <w:sz w:val="24"/>
        </w:rPr>
      </w:pPr>
    </w:p>
    <w:p w14:paraId="33FE32FB">
      <w:pPr>
        <w:spacing w:before="156" w:beforeLines="50" w:after="156" w:afterLines="50" w:line="360" w:lineRule="auto"/>
        <w:ind w:left="617" w:hanging="616" w:hangingChars="257"/>
        <w:rPr>
          <w:rFonts w:ascii="Times New Roman" w:hAnsi="Times New Roman" w:eastAsia="楷体_GB2312"/>
          <w:sz w:val="24"/>
        </w:rPr>
      </w:pPr>
      <w:r>
        <w:rPr>
          <w:rFonts w:ascii="Times New Roman" w:hAnsi="Times New Roman" w:eastAsia="楷体_GB2312"/>
          <w:sz w:val="24"/>
        </w:rPr>
        <w:t>说明：</w:t>
      </w:r>
    </w:p>
    <w:p w14:paraId="39F699AE">
      <w:pPr>
        <w:numPr>
          <w:ilvl w:val="0"/>
          <w:numId w:val="45"/>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本期可分配本金总额：系指本期回收款中用于本金分配的资金（“本期可分配本金金额”）与上期转存金额之和。</w:t>
      </w:r>
    </w:p>
    <w:p w14:paraId="44728187">
      <w:pPr>
        <w:numPr>
          <w:ilvl w:val="0"/>
          <w:numId w:val="45"/>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本期每百元面额兑付本金额的计算：</w:t>
      </w:r>
    </w:p>
    <w:p w14:paraId="77DFDF4C">
      <w:pPr>
        <w:numPr>
          <w:ilvl w:val="0"/>
          <w:numId w:val="4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当某一期的本期可分配本金总额不足以偿付完毕当期级别最高的资产支持证券本金余额时，当期级别最高的资产支持证券的“本期每百元面额兑付本金额”=本期可分配本金总额/该级资产支持证券份数，所得数值取位到人民币分位，不做四舍五入进位；其余级别资产支持证券的“本期每百元面额兑付本金额”为零。</w:t>
      </w:r>
    </w:p>
    <w:p w14:paraId="62865CD8">
      <w:pPr>
        <w:numPr>
          <w:ilvl w:val="0"/>
          <w:numId w:val="46"/>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当某一期本期可分配本金总额不仅能偿付完毕当期高级别的某一级或某连续几级资产支持证券本金余额、且仍有资金剩余用于偿付下一级别的资产支持证券（以下简称“最后受偿的级别的资产支持证券”）的本金时，则被偿付完毕的级别较高的资产支持证券的“本期每百元面额兑付本金额”=本期期初该级资产支持证券每百元面额的本金余额；最后受偿的级别的资产支持证券的“本期每百元面额兑付本金额”=（本期可分配本金总额-本期用于偿付较高级别资产支持证券的本金金额）/当期最后受偿的级别的资产支持证券的份数，所得数值取位到人民币分位，不做四舍五入进位；未涉及的其余级别的资产支持证券的“本期每百元面额兑付本金额”为零。</w:t>
      </w:r>
    </w:p>
    <w:p w14:paraId="57A4BC95">
      <w:pPr>
        <w:numPr>
          <w:ilvl w:val="0"/>
          <w:numId w:val="45"/>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某一级别的资产支持证券的“本期兑付本金总额”=该级别资产支持证券的“本期每百元面额兑付本金额”×该级别资产支持证券的份数。</w:t>
      </w:r>
    </w:p>
    <w:p w14:paraId="65E39278">
      <w:pPr>
        <w:numPr>
          <w:ilvl w:val="0"/>
          <w:numId w:val="45"/>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转存下期每百元面额本金还款额的计算：</w:t>
      </w:r>
    </w:p>
    <w:p w14:paraId="6676E679">
      <w:pPr>
        <w:numPr>
          <w:ilvl w:val="0"/>
          <w:numId w:val="47"/>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当某一期的本期可分配本金总额不足以偿付完毕当期级别最高的资产支持证券本金余额时，该级别的资产支持证券的“转存下期每百元面额本金还款额”=（本期可分配本金总额-该级资产支持证券的“本期兑付本金总额”）/该级资产支持证券份数，所得数值保留到小数点后10位，做四舍五入处理；其余级别的资产支持证券的“转存下期每百元面额本金还款额”为零。</w:t>
      </w:r>
    </w:p>
    <w:p w14:paraId="7A74AAD6">
      <w:pPr>
        <w:numPr>
          <w:ilvl w:val="0"/>
          <w:numId w:val="47"/>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当某一期的本期可分配本金总额不仅能偿付完毕当期高级别的某一级或某连续几级资产支持证券本金余额、且仍有资金剩余用于偿付下一优先级别的资产支持证券（以下简称“最后受偿的级别的资产支持证券”）的本金时，则被偿付完毕的高级别的资产支持证券的“转存下期每百元面额本金还款额”为零；最后受偿的级别的资产支持证券的“转存下期每百元面额本金还款额”=（本期可分配本金总额-本期用于偿付较高级别资产支持证券的本金金额-该最后受偿的级别的资产支持证券的“本期兑付本金总额”）/当期该级资产支持证券份数，所得数值保留到小数点后10位，做四舍五入处理；其余未涉及的资产支持证券的“转存下期每百元面额本金还款额”为零。</w:t>
      </w:r>
    </w:p>
    <w:p w14:paraId="68CACFBF">
      <w:pPr>
        <w:numPr>
          <w:ilvl w:val="0"/>
          <w:numId w:val="45"/>
        </w:numPr>
        <w:spacing w:before="156" w:beforeLines="50" w:after="156" w:afterLines="50" w:line="360" w:lineRule="auto"/>
        <w:rPr>
          <w:rFonts w:ascii="Times New Roman" w:hAnsi="Times New Roman" w:eastAsia="楷体_GB2312"/>
          <w:b/>
          <w:sz w:val="24"/>
        </w:rPr>
      </w:pPr>
      <w:r>
        <w:rPr>
          <w:rFonts w:ascii="Times New Roman" w:hAnsi="Times New Roman" w:eastAsia="楷体_GB2312"/>
          <w:sz w:val="24"/>
        </w:rPr>
        <w:t>转存下期本金还款金额：</w:t>
      </w:r>
    </w:p>
    <w:p w14:paraId="4790C3E7">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本期的“转存下期本金还款金额”=本期可分配本金总额-∑各级资产支持证券的“本期兑付本金总额”，所取得数值取数到人民币分位。</w:t>
      </w:r>
    </w:p>
    <w:p w14:paraId="17B855E1">
      <w:pPr>
        <w:spacing w:before="156" w:beforeLines="50" w:after="156" w:afterLines="50" w:line="360" w:lineRule="auto"/>
        <w:rPr>
          <w:rFonts w:ascii="Times New Roman" w:hAnsi="Times New Roman" w:eastAsia="楷体_GB2312"/>
          <w:sz w:val="24"/>
        </w:rPr>
      </w:pPr>
    </w:p>
    <w:p w14:paraId="15C34DDE">
      <w:pPr>
        <w:widowControl/>
        <w:jc w:val="left"/>
        <w:rPr>
          <w:rFonts w:ascii="Times New Roman" w:hAnsi="Times New Roman" w:eastAsia="楷体_GB2312"/>
          <w:b/>
          <w:sz w:val="24"/>
        </w:rPr>
      </w:pPr>
      <w:r>
        <w:rPr>
          <w:rFonts w:ascii="Times New Roman" w:hAnsi="Times New Roman" w:eastAsia="楷体_GB2312"/>
          <w:b/>
          <w:sz w:val="24"/>
        </w:rPr>
        <w:br w:type="page"/>
      </w:r>
    </w:p>
    <w:p w14:paraId="008EE8D0">
      <w:pPr>
        <w:spacing w:before="156" w:beforeLines="50" w:after="156" w:afterLines="50" w:line="360" w:lineRule="auto"/>
        <w:outlineLvl w:val="0"/>
        <w:rPr>
          <w:rFonts w:ascii="Times New Roman" w:hAnsi="Times New Roman" w:eastAsia="楷体_GB2312"/>
          <w:b/>
          <w:sz w:val="24"/>
        </w:rPr>
      </w:pPr>
      <w:bookmarkStart w:id="1736" w:name="_Toc227694357"/>
      <w:r>
        <w:rPr>
          <w:rFonts w:ascii="Times New Roman" w:hAnsi="Times New Roman" w:eastAsia="楷体_GB2312"/>
          <w:b/>
          <w:sz w:val="24"/>
        </w:rPr>
        <w:t>附件六：清仓回购通知书格式</w:t>
      </w:r>
      <w:bookmarkEnd w:id="1731"/>
      <w:bookmarkEnd w:id="1732"/>
      <w:bookmarkEnd w:id="1733"/>
      <w:bookmarkEnd w:id="1736"/>
    </w:p>
    <w:p w14:paraId="058618A8">
      <w:pPr>
        <w:spacing w:before="156" w:beforeLines="50" w:after="156" w:afterLines="50" w:line="360" w:lineRule="auto"/>
        <w:jc w:val="center"/>
        <w:rPr>
          <w:rFonts w:ascii="Times New Roman" w:hAnsi="Times New Roman" w:eastAsia="楷体_GB2312"/>
          <w:sz w:val="28"/>
          <w:szCs w:val="28"/>
        </w:rPr>
      </w:pPr>
      <w:r>
        <w:rPr>
          <w:rFonts w:ascii="Times New Roman" w:hAnsi="Times New Roman" w:eastAsia="楷体_GB2312"/>
          <w:b/>
          <w:sz w:val="28"/>
          <w:szCs w:val="28"/>
        </w:rPr>
        <w:t>清仓回购通知书</w:t>
      </w:r>
    </w:p>
    <w:p w14:paraId="046C9524">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致：</w:t>
      </w:r>
      <w:r>
        <w:rPr>
          <w:rFonts w:ascii="Times New Roman" w:hAnsi="Times New Roman" w:eastAsia="楷体_GB2312"/>
          <w:sz w:val="24"/>
        </w:rPr>
        <w:tab/>
      </w:r>
      <w:r>
        <w:rPr>
          <w:rFonts w:ascii="Times New Roman" w:hAnsi="Times New Roman" w:eastAsia="楷体_GB2312"/>
          <w:sz w:val="24"/>
        </w:rPr>
        <w:t>【受托机构全称】（“受托人”）</w:t>
      </w:r>
    </w:p>
    <w:p w14:paraId="54A23637">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抄送：</w:t>
      </w:r>
      <w:r>
        <w:rPr>
          <w:rFonts w:ascii="Times New Roman" w:hAnsi="Times New Roman" w:eastAsia="楷体_GB2312"/>
          <w:sz w:val="24"/>
        </w:rPr>
        <w:tab/>
      </w:r>
      <w:r>
        <w:rPr>
          <w:rFonts w:ascii="Times New Roman" w:hAnsi="Times New Roman" w:eastAsia="楷体_GB2312"/>
          <w:bCs/>
          <w:sz w:val="24"/>
        </w:rPr>
        <w:t>【评级机构】</w:t>
      </w:r>
      <w:r>
        <w:rPr>
          <w:rFonts w:ascii="Times New Roman" w:hAnsi="Times New Roman" w:eastAsia="楷体_GB2312"/>
          <w:sz w:val="24"/>
        </w:rPr>
        <w:t>（“评级机构”）</w:t>
      </w:r>
    </w:p>
    <w:p w14:paraId="6E06B605">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日期：_______________</w:t>
      </w:r>
    </w:p>
    <w:p w14:paraId="1281C49F">
      <w:pPr>
        <w:spacing w:before="156" w:beforeLines="50" w:after="156" w:afterLines="50" w:line="360" w:lineRule="auto"/>
        <w:ind w:left="-62" w:firstLine="480" w:firstLineChars="200"/>
        <w:rPr>
          <w:rFonts w:ascii="Times New Roman" w:hAnsi="Times New Roman" w:eastAsia="楷体_GB2312"/>
          <w:sz w:val="24"/>
        </w:rPr>
      </w:pPr>
      <w:r>
        <w:rPr>
          <w:rFonts w:ascii="Times New Roman" w:hAnsi="Times New Roman" w:eastAsia="楷体_GB2312"/>
          <w:sz w:val="24"/>
        </w:rPr>
        <w:t>根据【发起机构全称】与【受托机构全称】签署的编号为【】的《【信托名称】之信托合同》（“《信托合同》”）的约定，本公司（作为“委托人”）向贵公司（作为“受托人”）通知如下：</w:t>
      </w:r>
    </w:p>
    <w:p w14:paraId="1760C355">
      <w:pPr>
        <w:numPr>
          <w:ilvl w:val="0"/>
          <w:numId w:val="48"/>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本公司拟按照“《信托合同》”第</w:t>
      </w:r>
      <w:r>
        <w:rPr>
          <w:rFonts w:ascii="Times New Roman" w:hAnsi="Times New Roman" w:eastAsia="楷体_GB2312"/>
          <w:sz w:val="24"/>
        </w:rPr>
        <w:fldChar w:fldCharType="begin"/>
      </w:r>
      <w:r>
        <w:rPr>
          <w:rFonts w:ascii="Times New Roman" w:hAnsi="Times New Roman" w:eastAsia="楷体_GB2312"/>
          <w:sz w:val="24"/>
        </w:rPr>
        <w:instrText xml:space="preserve"> REF _Ref340403748 \r \h </w:instrText>
      </w:r>
      <w:r>
        <w:rPr>
          <w:rFonts w:ascii="Times New Roman" w:hAnsi="Times New Roman" w:eastAsia="楷体_GB2312"/>
          <w:sz w:val="24"/>
        </w:rPr>
        <w:fldChar w:fldCharType="separate"/>
      </w:r>
      <w:r>
        <w:rPr>
          <w:rFonts w:ascii="Times New Roman" w:hAnsi="Times New Roman" w:eastAsia="楷体_GB2312"/>
          <w:sz w:val="24"/>
        </w:rPr>
        <w:t>13</w:t>
      </w:r>
      <w:r>
        <w:rPr>
          <w:rFonts w:ascii="Times New Roman" w:hAnsi="Times New Roman" w:eastAsia="楷体_GB2312"/>
          <w:sz w:val="24"/>
        </w:rPr>
        <w:fldChar w:fldCharType="end"/>
      </w:r>
      <w:r>
        <w:rPr>
          <w:rFonts w:ascii="Times New Roman" w:hAnsi="Times New Roman" w:eastAsia="楷体_GB2312"/>
          <w:sz w:val="24"/>
        </w:rPr>
        <w:t>条的约定“清仓回购”“资产”；</w:t>
      </w:r>
    </w:p>
    <w:p w14:paraId="763256DD">
      <w:pPr>
        <w:numPr>
          <w:ilvl w:val="0"/>
          <w:numId w:val="48"/>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本公司发出本《清仓回购通知书》所在的“收款期间”是指【】年【】月【】日（含该日）至【】年【】月【】日（不含该日）之间的期间；</w:t>
      </w:r>
    </w:p>
    <w:p w14:paraId="043B44F7">
      <w:pPr>
        <w:numPr>
          <w:ilvl w:val="0"/>
          <w:numId w:val="48"/>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本次“清仓回购”的清仓回购价款支付时间不晚于【】年【】月【】日（即不晚于发出《清仓回购通知书》所在“收款期间”结束后的第一个“回收款转付日”）；</w:t>
      </w:r>
    </w:p>
    <w:p w14:paraId="70D161C3">
      <w:pPr>
        <w:numPr>
          <w:ilvl w:val="0"/>
          <w:numId w:val="48"/>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本次“清仓回购”的“回购起算日”系指【】年【】月【】日</w:t>
      </w:r>
    </w:p>
    <w:p w14:paraId="2BA07239">
      <w:pPr>
        <w:spacing w:before="156" w:beforeLines="50" w:after="156" w:afterLines="50" w:line="360" w:lineRule="auto"/>
        <w:ind w:left="-62" w:firstLine="480" w:firstLineChars="200"/>
        <w:rPr>
          <w:rFonts w:ascii="Times New Roman" w:hAnsi="Times New Roman" w:eastAsia="楷体_GB2312"/>
          <w:sz w:val="24"/>
        </w:rPr>
      </w:pPr>
      <w:r>
        <w:rPr>
          <w:rFonts w:ascii="Times New Roman" w:hAnsi="Times New Roman" w:eastAsia="楷体_GB2312"/>
          <w:sz w:val="24"/>
        </w:rPr>
        <w:t>若无相反定义，本通知使用的词语和表述与“《主定义表》”、“《信托合同》”中的相同词语和表述具有相同含义。</w:t>
      </w:r>
    </w:p>
    <w:p w14:paraId="454ABC43">
      <w:pPr>
        <w:spacing w:before="156" w:beforeLines="50" w:after="156" w:afterLines="50" w:line="360" w:lineRule="auto"/>
        <w:rPr>
          <w:rFonts w:ascii="Times New Roman" w:hAnsi="Times New Roman" w:eastAsia="楷体_GB2312"/>
          <w:b/>
          <w:sz w:val="28"/>
          <w:szCs w:val="28"/>
        </w:rPr>
      </w:pPr>
    </w:p>
    <w:p w14:paraId="5F254216">
      <w:pPr>
        <w:spacing w:before="156" w:beforeLines="50" w:after="156" w:afterLines="50" w:line="360" w:lineRule="auto"/>
        <w:ind w:right="480"/>
        <w:jc w:val="right"/>
        <w:rPr>
          <w:rFonts w:ascii="Times New Roman" w:hAnsi="Times New Roman" w:eastAsia="楷体_GB2312"/>
          <w:sz w:val="24"/>
        </w:rPr>
      </w:pPr>
      <w:r>
        <w:rPr>
          <w:rFonts w:ascii="Times New Roman" w:hAnsi="Times New Roman" w:eastAsia="楷体_GB2312"/>
          <w:sz w:val="24"/>
        </w:rPr>
        <w:t>【发起机构全称】/【发起机构信用卡中心】（公章）</w:t>
      </w:r>
    </w:p>
    <w:p w14:paraId="3365277A">
      <w:pPr>
        <w:spacing w:before="156" w:beforeLines="50" w:after="156" w:afterLines="50" w:line="360" w:lineRule="auto"/>
        <w:ind w:right="480"/>
        <w:jc w:val="right"/>
        <w:rPr>
          <w:rFonts w:ascii="Times New Roman" w:hAnsi="Times New Roman" w:eastAsia="楷体_GB2312"/>
          <w:sz w:val="24"/>
        </w:rPr>
      </w:pPr>
      <w:r>
        <w:rPr>
          <w:rFonts w:ascii="Times New Roman" w:hAnsi="Times New Roman" w:eastAsia="楷体_GB2312"/>
          <w:sz w:val="24"/>
        </w:rPr>
        <w:t>法定代表人</w:t>
      </w:r>
      <w:r>
        <w:rPr>
          <w:rFonts w:hint="eastAsia" w:ascii="Times New Roman" w:hAnsi="Times New Roman" w:eastAsia="楷体_GB2312"/>
          <w:sz w:val="24"/>
        </w:rPr>
        <w:t>或</w:t>
      </w:r>
      <w:r>
        <w:rPr>
          <w:rFonts w:ascii="Times New Roman" w:hAnsi="Times New Roman" w:eastAsia="楷体_GB2312"/>
          <w:sz w:val="24"/>
        </w:rPr>
        <w:t>负责人或授权代表（签字</w:t>
      </w:r>
      <w:r>
        <w:rPr>
          <w:rFonts w:hint="eastAsia" w:ascii="Times New Roman" w:hAnsi="Times New Roman" w:eastAsia="楷体_GB2312"/>
          <w:sz w:val="24"/>
        </w:rPr>
        <w:t>或签章</w:t>
      </w:r>
      <w:r>
        <w:rPr>
          <w:rFonts w:ascii="Times New Roman" w:hAnsi="Times New Roman" w:eastAsia="楷体_GB2312"/>
          <w:sz w:val="24"/>
        </w:rPr>
        <w:t>）：</w:t>
      </w:r>
    </w:p>
    <w:p w14:paraId="4AA832DC">
      <w:pPr>
        <w:spacing w:before="156" w:beforeLines="50" w:after="156" w:afterLines="50" w:line="360" w:lineRule="auto"/>
        <w:ind w:firstLine="4080" w:firstLineChars="1700"/>
        <w:rPr>
          <w:rFonts w:ascii="Times New Roman" w:hAnsi="Times New Roman" w:eastAsia="楷体_GB2312"/>
          <w:sz w:val="24"/>
        </w:rPr>
      </w:pPr>
      <w:r>
        <w:rPr>
          <w:rFonts w:ascii="Times New Roman" w:hAnsi="Times New Roman" w:eastAsia="楷体_GB2312"/>
          <w:sz w:val="24"/>
        </w:rPr>
        <w:t>【】年【】月【】日</w:t>
      </w:r>
    </w:p>
    <w:p w14:paraId="31B3FCF6">
      <w:pPr>
        <w:spacing w:before="156" w:beforeLines="50" w:after="156" w:afterLines="50" w:line="360" w:lineRule="auto"/>
        <w:outlineLvl w:val="0"/>
        <w:rPr>
          <w:rFonts w:ascii="Times New Roman" w:hAnsi="Times New Roman" w:eastAsia="楷体_GB2312"/>
          <w:b/>
          <w:sz w:val="24"/>
        </w:rPr>
      </w:pPr>
      <w:r>
        <w:rPr>
          <w:rFonts w:ascii="Times New Roman" w:hAnsi="Times New Roman" w:eastAsia="楷体_GB2312"/>
          <w:sz w:val="24"/>
        </w:rPr>
        <w:br w:type="page"/>
      </w:r>
      <w:bookmarkStart w:id="1737" w:name="_Toc227694358"/>
      <w:bookmarkStart w:id="1738" w:name="_Toc202174952"/>
      <w:bookmarkStart w:id="1739" w:name="_Toc203893112"/>
      <w:bookmarkStart w:id="1740" w:name="_Toc335998748"/>
      <w:r>
        <w:rPr>
          <w:rFonts w:ascii="Times New Roman" w:hAnsi="Times New Roman" w:eastAsia="楷体_GB2312"/>
          <w:b/>
          <w:sz w:val="24"/>
        </w:rPr>
        <w:t>附件</w:t>
      </w:r>
      <w:r>
        <w:rPr>
          <w:rFonts w:hint="eastAsia" w:ascii="Times New Roman" w:hAnsi="Times New Roman" w:eastAsia="楷体_GB2312"/>
          <w:b/>
          <w:sz w:val="24"/>
        </w:rPr>
        <w:t>七</w:t>
      </w:r>
      <w:r>
        <w:rPr>
          <w:rFonts w:ascii="Times New Roman" w:hAnsi="Times New Roman" w:eastAsia="楷体_GB2312"/>
          <w:b/>
          <w:sz w:val="24"/>
        </w:rPr>
        <w:t>：清仓回购要约通知书格式</w:t>
      </w:r>
      <w:bookmarkEnd w:id="1737"/>
      <w:bookmarkEnd w:id="1738"/>
      <w:bookmarkEnd w:id="1739"/>
      <w:bookmarkEnd w:id="1740"/>
    </w:p>
    <w:p w14:paraId="60FC3771">
      <w:pPr>
        <w:spacing w:before="156" w:beforeLines="50" w:after="156" w:afterLines="50" w:line="360" w:lineRule="auto"/>
        <w:jc w:val="center"/>
        <w:rPr>
          <w:rFonts w:ascii="Times New Roman" w:hAnsi="Times New Roman" w:eastAsia="楷体_GB2312"/>
          <w:sz w:val="28"/>
          <w:szCs w:val="28"/>
        </w:rPr>
      </w:pPr>
      <w:r>
        <w:rPr>
          <w:rFonts w:ascii="Times New Roman" w:hAnsi="Times New Roman" w:eastAsia="楷体_GB2312"/>
          <w:b/>
          <w:sz w:val="28"/>
          <w:szCs w:val="28"/>
        </w:rPr>
        <w:t>清仓回购要约通知书</w:t>
      </w:r>
    </w:p>
    <w:p w14:paraId="46E7CE3B">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致：</w:t>
      </w:r>
      <w:r>
        <w:rPr>
          <w:rFonts w:ascii="Times New Roman" w:hAnsi="Times New Roman" w:eastAsia="楷体_GB2312"/>
          <w:sz w:val="24"/>
        </w:rPr>
        <w:tab/>
      </w:r>
      <w:r>
        <w:rPr>
          <w:rFonts w:ascii="Times New Roman" w:hAnsi="Times New Roman" w:eastAsia="楷体_GB2312"/>
          <w:sz w:val="24"/>
        </w:rPr>
        <w:t>【发起机构全称】（“委托人”）</w:t>
      </w:r>
    </w:p>
    <w:p w14:paraId="45DF81A7">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抄送：【评级机构】（“评级机构”）</w:t>
      </w:r>
    </w:p>
    <w:p w14:paraId="2A7DC3CD">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日期：_______________</w:t>
      </w:r>
    </w:p>
    <w:p w14:paraId="35CD6B09">
      <w:pPr>
        <w:spacing w:before="156" w:beforeLines="50" w:after="156" w:afterLines="50" w:line="360" w:lineRule="auto"/>
        <w:ind w:left="-62" w:firstLine="480" w:firstLineChars="200"/>
        <w:rPr>
          <w:rFonts w:ascii="Times New Roman" w:hAnsi="Times New Roman" w:eastAsia="楷体_GB2312"/>
          <w:sz w:val="24"/>
        </w:rPr>
      </w:pPr>
      <w:r>
        <w:rPr>
          <w:rFonts w:ascii="Times New Roman" w:hAnsi="Times New Roman" w:eastAsia="楷体_GB2312"/>
          <w:sz w:val="24"/>
        </w:rPr>
        <w:t>根据【受托机构全称】与【发起机构全称】签署的编号为【】的《【信托名称】之信托合同》（“《信托合同》”）的约定，本公司（作为“受托人”）向贵公司（作为“委托人”）通知如下：</w:t>
      </w:r>
    </w:p>
    <w:p w14:paraId="249010C3">
      <w:pPr>
        <w:numPr>
          <w:ilvl w:val="0"/>
          <w:numId w:val="4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本公司已收到于【</w:t>
      </w:r>
      <w:r>
        <w:rPr>
          <w:rFonts w:ascii="Times New Roman" w:hAnsi="Times New Roman" w:eastAsia="楷体_GB2312"/>
          <w:i/>
          <w:sz w:val="24"/>
        </w:rPr>
        <w:t>填入日期</w:t>
      </w:r>
      <w:r>
        <w:rPr>
          <w:rFonts w:ascii="Times New Roman" w:hAnsi="Times New Roman" w:eastAsia="楷体_GB2312"/>
          <w:sz w:val="24"/>
        </w:rPr>
        <w:t>】发出的清仓回购通知书（见本通知附件）；</w:t>
      </w:r>
    </w:p>
    <w:p w14:paraId="45DFD02C">
      <w:pPr>
        <w:numPr>
          <w:ilvl w:val="0"/>
          <w:numId w:val="4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“清仓回购价格”为【】元</w:t>
      </w:r>
      <w:r>
        <w:rPr>
          <w:rFonts w:hint="eastAsia" w:ascii="Times New Roman" w:hAnsi="Times New Roman" w:eastAsia="楷体_GB2312"/>
          <w:sz w:val="24"/>
        </w:rPr>
        <w:t>，</w:t>
      </w:r>
      <w:r>
        <w:rPr>
          <w:rFonts w:ascii="Times New Roman" w:hAnsi="Times New Roman" w:eastAsia="楷体_GB2312"/>
          <w:sz w:val="24"/>
        </w:rPr>
        <w:t>其中本金回收款为【】元</w:t>
      </w:r>
      <w:r>
        <w:rPr>
          <w:rFonts w:hint="eastAsia" w:ascii="Times New Roman" w:hAnsi="Times New Roman" w:eastAsia="楷体_GB2312"/>
          <w:sz w:val="24"/>
        </w:rPr>
        <w:t>，</w:t>
      </w:r>
      <w:r>
        <w:rPr>
          <w:rFonts w:ascii="Times New Roman" w:hAnsi="Times New Roman" w:eastAsia="楷体_GB2312"/>
          <w:sz w:val="24"/>
        </w:rPr>
        <w:t>收入回收款【】元；</w:t>
      </w:r>
    </w:p>
    <w:p w14:paraId="3641FED4">
      <w:pPr>
        <w:numPr>
          <w:ilvl w:val="0"/>
          <w:numId w:val="4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在承诺后，本公司将自回购起算日</w:t>
      </w:r>
      <w:r>
        <w:rPr>
          <w:rFonts w:hint="eastAsia" w:ascii="Times New Roman" w:hAnsi="Times New Roman" w:eastAsia="楷体_GB2312"/>
          <w:sz w:val="24"/>
        </w:rPr>
        <w:t>【</w:t>
      </w:r>
      <w:r>
        <w:rPr>
          <w:rFonts w:hint="eastAsia" w:ascii="Times New Roman" w:hAnsi="Times New Roman" w:eastAsia="楷体_GB2312"/>
          <w:i/>
          <w:iCs/>
          <w:sz w:val="24"/>
        </w:rPr>
        <w:t>具体时点</w:t>
      </w:r>
      <w:r>
        <w:rPr>
          <w:rFonts w:hint="eastAsia" w:ascii="Times New Roman" w:hAnsi="Times New Roman" w:eastAsia="楷体_GB2312"/>
          <w:sz w:val="24"/>
        </w:rPr>
        <w:t>】</w:t>
      </w:r>
      <w:r>
        <w:rPr>
          <w:rFonts w:ascii="Times New Roman" w:hAnsi="Times New Roman" w:eastAsia="楷体_GB2312"/>
          <w:sz w:val="24"/>
        </w:rPr>
        <w:t>起信托项下全部剩余“资产”出售给委托人，应不晚于【】年【】月【】日（即不晚于发出《清仓回购通知书》所在“收款期间”结束后的第一个“回收款转付日”）将相当于“清仓回购价格”在扣除根据《信托合同》第</w:t>
      </w:r>
      <w:r>
        <w:rPr>
          <w:rFonts w:ascii="Times New Roman" w:hAnsi="Times New Roman" w:eastAsia="楷体_GB2312"/>
          <w:sz w:val="24"/>
        </w:rPr>
        <w:fldChar w:fldCharType="begin"/>
      </w:r>
      <w:r>
        <w:rPr>
          <w:rFonts w:ascii="Times New Roman" w:hAnsi="Times New Roman" w:eastAsia="楷体_GB2312"/>
          <w:sz w:val="24"/>
        </w:rPr>
        <w:instrText xml:space="preserve"> REF _Ref342416683 \r \h </w:instrText>
      </w:r>
      <w:r>
        <w:rPr>
          <w:rFonts w:ascii="Times New Roman" w:hAnsi="Times New Roman" w:eastAsia="楷体_GB2312"/>
          <w:sz w:val="24"/>
        </w:rPr>
        <w:fldChar w:fldCharType="separate"/>
      </w:r>
      <w:r>
        <w:rPr>
          <w:rFonts w:ascii="Times New Roman" w:hAnsi="Times New Roman" w:eastAsia="楷体_GB2312"/>
          <w:sz w:val="24"/>
        </w:rPr>
        <w:t>13.5</w:t>
      </w:r>
      <w:r>
        <w:rPr>
          <w:rFonts w:ascii="Times New Roman" w:hAnsi="Times New Roman" w:eastAsia="楷体_GB2312"/>
          <w:sz w:val="24"/>
        </w:rPr>
        <w:fldChar w:fldCharType="end"/>
      </w:r>
      <w:r>
        <w:rPr>
          <w:rFonts w:ascii="Times New Roman" w:hAnsi="Times New Roman" w:eastAsia="楷体_GB2312"/>
          <w:sz w:val="24"/>
        </w:rPr>
        <w:t>款可扣除的款项后的资金，一次性支付至如下“信托账户”，户名【】，开户行【】，账号：【】；</w:t>
      </w:r>
    </w:p>
    <w:p w14:paraId="1CD9D280">
      <w:pPr>
        <w:numPr>
          <w:ilvl w:val="0"/>
          <w:numId w:val="4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发出《清仓回购通知书》所在的“收款期间”系指【】年【】月【】日（含该日）至【】年【】月【】日（不含该日）之间的期间；</w:t>
      </w:r>
    </w:p>
    <w:p w14:paraId="6B6D36EA">
      <w:pPr>
        <w:numPr>
          <w:ilvl w:val="0"/>
          <w:numId w:val="4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本次“清仓回购”的“回购起算日”系指【】年【】月【】日。</w:t>
      </w:r>
    </w:p>
    <w:p w14:paraId="57E0949C">
      <w:pPr>
        <w:numPr>
          <w:ilvl w:val="0"/>
          <w:numId w:val="49"/>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如欲接受本要约，应于收到本要约后</w:t>
      </w:r>
      <w:r>
        <w:rPr>
          <w:rFonts w:ascii="Times New Roman" w:hAnsi="Times New Roman" w:eastAsia="楷体_GB2312"/>
          <w:b/>
          <w:sz w:val="24"/>
        </w:rPr>
        <w:t>【】</w:t>
      </w:r>
      <w:r>
        <w:rPr>
          <w:rFonts w:ascii="Times New Roman" w:hAnsi="Times New Roman" w:eastAsia="楷体_GB2312"/>
          <w:sz w:val="24"/>
        </w:rPr>
        <w:t>个“工作日”内将承诺通知发送给本公司。</w:t>
      </w:r>
    </w:p>
    <w:p w14:paraId="5DB20A33">
      <w:pPr>
        <w:spacing w:before="156" w:beforeLines="50" w:after="156" w:afterLines="50" w:line="360" w:lineRule="auto"/>
        <w:ind w:left="-62" w:firstLine="480" w:firstLineChars="200"/>
        <w:rPr>
          <w:rFonts w:ascii="Times New Roman" w:hAnsi="Times New Roman" w:eastAsia="楷体_GB2312"/>
          <w:sz w:val="24"/>
        </w:rPr>
      </w:pPr>
      <w:r>
        <w:rPr>
          <w:rFonts w:ascii="Times New Roman" w:hAnsi="Times New Roman" w:eastAsia="楷体_GB2312"/>
          <w:sz w:val="24"/>
        </w:rPr>
        <w:t>若无相反定义，本通知使用的词语和表述与“《主定义表》”、“《信托合同》”中的相同词语和表述具有相同含义。</w:t>
      </w:r>
    </w:p>
    <w:p w14:paraId="123E2517">
      <w:pPr>
        <w:spacing w:before="156" w:beforeLines="50" w:after="156" w:afterLines="50" w:line="360" w:lineRule="auto"/>
        <w:ind w:left="3780" w:right="480"/>
        <w:jc w:val="center"/>
        <w:rPr>
          <w:rFonts w:ascii="Times New Roman" w:hAnsi="Times New Roman" w:eastAsia="楷体_GB2312"/>
          <w:sz w:val="24"/>
        </w:rPr>
      </w:pPr>
      <w:r>
        <w:rPr>
          <w:rFonts w:ascii="Times New Roman" w:hAnsi="Times New Roman" w:eastAsia="楷体_GB2312"/>
          <w:sz w:val="24"/>
        </w:rPr>
        <w:t>【受托机构全称】（公章）</w:t>
      </w:r>
    </w:p>
    <w:p w14:paraId="75219FAB">
      <w:pPr>
        <w:spacing w:before="156" w:beforeLines="50" w:after="156" w:afterLines="50" w:line="360" w:lineRule="auto"/>
        <w:ind w:left="3780" w:right="480"/>
        <w:jc w:val="center"/>
        <w:rPr>
          <w:rFonts w:ascii="Times New Roman" w:hAnsi="Times New Roman" w:eastAsia="楷体_GB2312"/>
          <w:sz w:val="24"/>
        </w:rPr>
      </w:pPr>
      <w:r>
        <w:rPr>
          <w:rFonts w:ascii="Times New Roman" w:hAnsi="Times New Roman" w:eastAsia="楷体_GB2312"/>
          <w:sz w:val="24"/>
        </w:rPr>
        <w:t>法定代表人或授权代表（签字）：</w:t>
      </w:r>
    </w:p>
    <w:p w14:paraId="25F76BCB">
      <w:pPr>
        <w:spacing w:before="156" w:beforeLines="50" w:after="156" w:afterLines="50" w:line="360" w:lineRule="auto"/>
        <w:ind w:firstLine="4080" w:firstLineChars="1700"/>
        <w:rPr>
          <w:rFonts w:ascii="Times New Roman" w:hAnsi="Times New Roman" w:eastAsia="楷体_GB2312"/>
          <w:sz w:val="24"/>
        </w:rPr>
      </w:pPr>
      <w:r>
        <w:rPr>
          <w:rFonts w:ascii="Times New Roman" w:hAnsi="Times New Roman" w:eastAsia="楷体_GB2312"/>
          <w:sz w:val="24"/>
        </w:rPr>
        <w:t>【】年【】月【】日</w:t>
      </w:r>
    </w:p>
    <w:p w14:paraId="1FEF0A36">
      <w:p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附：清仓回购通知书</w:t>
      </w:r>
    </w:p>
    <w:p w14:paraId="30678DB0">
      <w:pPr>
        <w:spacing w:before="156" w:beforeLines="50" w:after="156" w:afterLines="50" w:line="360" w:lineRule="auto"/>
        <w:outlineLvl w:val="0"/>
        <w:rPr>
          <w:rFonts w:ascii="Times New Roman" w:hAnsi="Times New Roman" w:eastAsia="楷体_GB2312"/>
          <w:b/>
          <w:sz w:val="24"/>
        </w:rPr>
      </w:pPr>
      <w:r>
        <w:rPr>
          <w:rFonts w:ascii="Times New Roman" w:hAnsi="Times New Roman" w:eastAsia="楷体_GB2312"/>
          <w:b/>
          <w:sz w:val="24"/>
        </w:rPr>
        <w:br w:type="page"/>
      </w:r>
      <w:bookmarkStart w:id="1741" w:name="_Toc227694359"/>
      <w:bookmarkStart w:id="1742" w:name="_Toc335998749"/>
      <w:bookmarkStart w:id="1743" w:name="_Toc203893113"/>
      <w:bookmarkStart w:id="1744" w:name="_Toc202174953"/>
      <w:r>
        <w:rPr>
          <w:rFonts w:ascii="Times New Roman" w:hAnsi="Times New Roman" w:eastAsia="楷体_GB2312"/>
          <w:b/>
          <w:sz w:val="24"/>
        </w:rPr>
        <w:t>附件</w:t>
      </w:r>
      <w:r>
        <w:rPr>
          <w:rFonts w:hint="eastAsia" w:ascii="Times New Roman" w:hAnsi="Times New Roman" w:eastAsia="楷体_GB2312"/>
          <w:b/>
          <w:sz w:val="24"/>
        </w:rPr>
        <w:t>八</w:t>
      </w:r>
      <w:r>
        <w:rPr>
          <w:rFonts w:ascii="Times New Roman" w:hAnsi="Times New Roman" w:eastAsia="楷体_GB2312"/>
          <w:b/>
          <w:sz w:val="24"/>
        </w:rPr>
        <w:t>：清仓回购承诺通知书格式</w:t>
      </w:r>
      <w:bookmarkEnd w:id="1741"/>
      <w:bookmarkEnd w:id="1742"/>
      <w:bookmarkEnd w:id="1743"/>
      <w:bookmarkEnd w:id="1744"/>
    </w:p>
    <w:p w14:paraId="0FB36B23">
      <w:pPr>
        <w:spacing w:before="156" w:beforeLines="50" w:after="156" w:afterLines="50" w:line="360" w:lineRule="auto"/>
        <w:jc w:val="center"/>
        <w:rPr>
          <w:rFonts w:ascii="Times New Roman" w:hAnsi="Times New Roman" w:eastAsia="楷体_GB2312"/>
          <w:sz w:val="28"/>
          <w:szCs w:val="28"/>
        </w:rPr>
      </w:pPr>
      <w:r>
        <w:rPr>
          <w:rFonts w:ascii="Times New Roman" w:hAnsi="Times New Roman" w:eastAsia="楷体_GB2312"/>
          <w:b/>
          <w:sz w:val="28"/>
          <w:szCs w:val="28"/>
        </w:rPr>
        <w:t>清仓回购承诺通知书</w:t>
      </w:r>
    </w:p>
    <w:p w14:paraId="7121DB27">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致：</w:t>
      </w:r>
      <w:r>
        <w:rPr>
          <w:rFonts w:ascii="Times New Roman" w:hAnsi="Times New Roman" w:eastAsia="楷体_GB2312"/>
          <w:sz w:val="24"/>
        </w:rPr>
        <w:tab/>
      </w:r>
      <w:r>
        <w:rPr>
          <w:rFonts w:ascii="Times New Roman" w:hAnsi="Times New Roman" w:eastAsia="楷体_GB2312"/>
          <w:sz w:val="24"/>
        </w:rPr>
        <w:t>【受托机构全称】（“受托人”）</w:t>
      </w:r>
    </w:p>
    <w:p w14:paraId="3AE16546">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抄送：【评级机构】（“评级机构”）</w:t>
      </w:r>
    </w:p>
    <w:p w14:paraId="73F6FCE0">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日期：_______________</w:t>
      </w:r>
    </w:p>
    <w:p w14:paraId="65502465">
      <w:pPr>
        <w:spacing w:before="156" w:beforeLines="50" w:after="156" w:afterLines="50" w:line="360" w:lineRule="auto"/>
        <w:ind w:left="-62" w:firstLine="480" w:firstLineChars="200"/>
        <w:rPr>
          <w:rFonts w:ascii="Times New Roman" w:hAnsi="Times New Roman" w:eastAsia="楷体_GB2312"/>
          <w:sz w:val="24"/>
        </w:rPr>
      </w:pPr>
      <w:r>
        <w:rPr>
          <w:rFonts w:ascii="Times New Roman" w:hAnsi="Times New Roman" w:eastAsia="楷体_GB2312"/>
          <w:sz w:val="24"/>
        </w:rPr>
        <w:t>根据【发起机构全称】与【受托机构全称】签署的编号为【】的</w:t>
      </w:r>
      <w:r>
        <w:rPr>
          <w:rFonts w:hint="eastAsia" w:ascii="Times New Roman" w:hAnsi="Times New Roman" w:eastAsia="楷体_GB2312"/>
          <w:sz w:val="24"/>
        </w:rPr>
        <w:t>《</w:t>
      </w:r>
      <w:r>
        <w:rPr>
          <w:rFonts w:ascii="Times New Roman" w:hAnsi="Times New Roman" w:eastAsia="楷体_GB2312"/>
          <w:sz w:val="24"/>
        </w:rPr>
        <w:t>【信托名称】之信托合同》（“《信托合同》”）的约定，本公司（作为“委托人”）向（作为“受托人”）通知如下：</w:t>
      </w:r>
    </w:p>
    <w:p w14:paraId="4E911CD1">
      <w:pPr>
        <w:numPr>
          <w:ilvl w:val="0"/>
          <w:numId w:val="50"/>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本公司已收到于【</w:t>
      </w:r>
      <w:r>
        <w:rPr>
          <w:rFonts w:ascii="Times New Roman" w:hAnsi="Times New Roman" w:eastAsia="楷体_GB2312"/>
          <w:i/>
          <w:sz w:val="24"/>
        </w:rPr>
        <w:t>填入日期</w:t>
      </w:r>
      <w:r>
        <w:rPr>
          <w:rFonts w:ascii="Times New Roman" w:hAnsi="Times New Roman" w:eastAsia="楷体_GB2312"/>
          <w:sz w:val="24"/>
        </w:rPr>
        <w:t>】发出的清仓回购要约通知书（见本通知附件），且本公司同意接受该要约。</w:t>
      </w:r>
    </w:p>
    <w:p w14:paraId="300B6DDF">
      <w:pPr>
        <w:numPr>
          <w:ilvl w:val="0"/>
          <w:numId w:val="50"/>
        </w:num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本通知为不可撤销的承诺通知。</w:t>
      </w:r>
    </w:p>
    <w:p w14:paraId="4182C5B9">
      <w:pPr>
        <w:spacing w:before="156" w:beforeLines="50" w:after="156" w:afterLines="50" w:line="360" w:lineRule="auto"/>
        <w:ind w:left="-62" w:firstLine="480" w:firstLineChars="200"/>
        <w:rPr>
          <w:rFonts w:ascii="Times New Roman" w:hAnsi="Times New Roman" w:eastAsia="楷体_GB2312"/>
          <w:sz w:val="24"/>
        </w:rPr>
      </w:pPr>
      <w:r>
        <w:rPr>
          <w:rFonts w:ascii="Times New Roman" w:hAnsi="Times New Roman" w:eastAsia="楷体_GB2312"/>
          <w:sz w:val="24"/>
        </w:rPr>
        <w:t>若无相反定义，本通知使用的词语和表述与“《主定义表》”、“《信托合同》”中的相同词语和表述具有相同含义。</w:t>
      </w:r>
    </w:p>
    <w:p w14:paraId="50E82F82">
      <w:pPr>
        <w:spacing w:before="156" w:beforeLines="50" w:after="156" w:afterLines="50" w:line="360" w:lineRule="auto"/>
        <w:rPr>
          <w:rFonts w:ascii="Times New Roman" w:hAnsi="Times New Roman" w:eastAsia="楷体_GB2312"/>
          <w:b/>
          <w:sz w:val="28"/>
          <w:szCs w:val="28"/>
        </w:rPr>
      </w:pPr>
    </w:p>
    <w:p w14:paraId="76737E3E">
      <w:pPr>
        <w:spacing w:before="156" w:beforeLines="50" w:after="156" w:afterLines="50" w:line="360" w:lineRule="auto"/>
        <w:ind w:right="480"/>
        <w:jc w:val="right"/>
        <w:rPr>
          <w:rFonts w:ascii="Times New Roman" w:hAnsi="Times New Roman" w:eastAsia="楷体_GB2312"/>
          <w:sz w:val="24"/>
        </w:rPr>
      </w:pPr>
      <w:bookmarkStart w:id="1745" w:name="_Toc201569485"/>
      <w:r>
        <w:rPr>
          <w:rFonts w:ascii="Times New Roman" w:hAnsi="Times New Roman" w:eastAsia="楷体_GB2312"/>
          <w:sz w:val="24"/>
        </w:rPr>
        <w:t>【发起机构全称】/【发起机构信用卡中心】（公章）</w:t>
      </w:r>
    </w:p>
    <w:p w14:paraId="47BEFF91">
      <w:pPr>
        <w:spacing w:before="156" w:beforeLines="50" w:after="156" w:afterLines="50" w:line="360" w:lineRule="auto"/>
        <w:ind w:right="480"/>
        <w:jc w:val="right"/>
        <w:rPr>
          <w:rFonts w:ascii="Times New Roman" w:hAnsi="Times New Roman" w:eastAsia="楷体_GB2312"/>
          <w:sz w:val="24"/>
        </w:rPr>
      </w:pPr>
      <w:r>
        <w:rPr>
          <w:rFonts w:ascii="Times New Roman" w:hAnsi="Times New Roman" w:eastAsia="楷体_GB2312"/>
          <w:sz w:val="24"/>
        </w:rPr>
        <w:t>法定代表人</w:t>
      </w:r>
      <w:r>
        <w:rPr>
          <w:rFonts w:hint="eastAsia" w:ascii="Times New Roman" w:hAnsi="Times New Roman" w:eastAsia="楷体_GB2312"/>
          <w:sz w:val="24"/>
        </w:rPr>
        <w:t>或</w:t>
      </w:r>
      <w:r>
        <w:rPr>
          <w:rFonts w:ascii="Times New Roman" w:hAnsi="Times New Roman" w:eastAsia="楷体_GB2312"/>
          <w:sz w:val="24"/>
        </w:rPr>
        <w:t>负责人或授权代表（签字</w:t>
      </w:r>
      <w:r>
        <w:rPr>
          <w:rFonts w:hint="eastAsia" w:ascii="Times New Roman" w:hAnsi="Times New Roman" w:eastAsia="楷体_GB2312"/>
          <w:sz w:val="24"/>
        </w:rPr>
        <w:t>或签章</w:t>
      </w:r>
      <w:r>
        <w:rPr>
          <w:rFonts w:ascii="Times New Roman" w:hAnsi="Times New Roman" w:eastAsia="楷体_GB2312"/>
          <w:sz w:val="24"/>
        </w:rPr>
        <w:t>）：</w:t>
      </w:r>
    </w:p>
    <w:p w14:paraId="055F3F03">
      <w:pPr>
        <w:spacing w:before="156" w:beforeLines="50" w:after="156" w:afterLines="50" w:line="360" w:lineRule="auto"/>
        <w:ind w:left="3780" w:right="480"/>
        <w:jc w:val="center"/>
        <w:rPr>
          <w:rFonts w:ascii="Times New Roman" w:hAnsi="Times New Roman" w:eastAsia="楷体_GB2312"/>
        </w:rPr>
      </w:pPr>
      <w:r>
        <w:rPr>
          <w:rFonts w:ascii="Times New Roman" w:hAnsi="Times New Roman" w:eastAsia="楷体_GB2312"/>
          <w:sz w:val="24"/>
        </w:rPr>
        <w:t>【】年【】月【】日</w:t>
      </w:r>
    </w:p>
    <w:p w14:paraId="320107B2">
      <w:pPr>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附：清仓回购要约通知书</w:t>
      </w:r>
      <w:r>
        <w:rPr>
          <w:rFonts w:ascii="Times New Roman" w:hAnsi="Times New Roman" w:eastAsia="楷体_GB2312"/>
          <w:sz w:val="24"/>
        </w:rPr>
        <w:br w:type="page"/>
      </w:r>
      <w:bookmarkStart w:id="1746" w:name="_Toc335998750"/>
    </w:p>
    <w:bookmarkEnd w:id="1745"/>
    <w:bookmarkEnd w:id="1746"/>
    <w:p w14:paraId="6C90F494">
      <w:pPr>
        <w:spacing w:before="156" w:beforeLines="50" w:after="156" w:afterLines="50" w:line="360" w:lineRule="auto"/>
        <w:outlineLvl w:val="0"/>
        <w:rPr>
          <w:rFonts w:ascii="Times New Roman" w:hAnsi="Times New Roman" w:eastAsia="楷体_GB2312"/>
          <w:b/>
          <w:sz w:val="24"/>
        </w:rPr>
      </w:pPr>
      <w:bookmarkStart w:id="1747" w:name="_DV_M624"/>
      <w:bookmarkEnd w:id="1747"/>
      <w:bookmarkStart w:id="1748" w:name="_DV_M635"/>
      <w:bookmarkEnd w:id="1748"/>
      <w:bookmarkStart w:id="1749" w:name="_DV_M646"/>
      <w:bookmarkEnd w:id="1749"/>
      <w:bookmarkStart w:id="1750" w:name="_Toc11139647"/>
      <w:bookmarkEnd w:id="1750"/>
      <w:bookmarkStart w:id="1751" w:name="_DV_M803"/>
      <w:bookmarkEnd w:id="1751"/>
      <w:bookmarkStart w:id="1752" w:name="_DV_M644"/>
      <w:bookmarkEnd w:id="1752"/>
      <w:bookmarkStart w:id="1753" w:name="_Toc15369301"/>
      <w:bookmarkEnd w:id="1753"/>
      <w:bookmarkStart w:id="1754" w:name="_DV_M625"/>
      <w:bookmarkEnd w:id="1754"/>
      <w:bookmarkStart w:id="1755" w:name="_DV_M633"/>
      <w:bookmarkEnd w:id="1755"/>
      <w:bookmarkStart w:id="1756" w:name="_DV_M641"/>
      <w:bookmarkEnd w:id="1756"/>
      <w:bookmarkStart w:id="1757" w:name="_DV_M801"/>
      <w:bookmarkEnd w:id="1757"/>
      <w:bookmarkStart w:id="1758" w:name="_DV_M628"/>
      <w:bookmarkEnd w:id="1758"/>
      <w:bookmarkStart w:id="1759" w:name="_Toc473511390"/>
      <w:bookmarkEnd w:id="1759"/>
      <w:bookmarkStart w:id="1760" w:name="_DV_M648"/>
      <w:bookmarkEnd w:id="1760"/>
      <w:bookmarkStart w:id="1761" w:name="_DV_M634"/>
      <w:bookmarkEnd w:id="1761"/>
      <w:bookmarkStart w:id="1762" w:name="_Toc13816330"/>
      <w:bookmarkEnd w:id="1762"/>
      <w:bookmarkStart w:id="1763" w:name="_DV_M626"/>
      <w:bookmarkEnd w:id="1763"/>
      <w:bookmarkStart w:id="1764" w:name="_DV_M643"/>
      <w:bookmarkEnd w:id="1764"/>
      <w:bookmarkStart w:id="1765" w:name="_DV_M623"/>
      <w:bookmarkEnd w:id="1765"/>
      <w:bookmarkStart w:id="1766" w:name="_DV_M647"/>
      <w:bookmarkEnd w:id="1766"/>
      <w:bookmarkStart w:id="1767" w:name="_DV_M802"/>
      <w:bookmarkEnd w:id="1767"/>
      <w:bookmarkStart w:id="1768" w:name="_DV_M630"/>
      <w:bookmarkEnd w:id="1768"/>
      <w:bookmarkStart w:id="1769" w:name="_DV_M645"/>
      <w:bookmarkEnd w:id="1769"/>
      <w:bookmarkStart w:id="1770" w:name="_Toc227694360"/>
      <w:bookmarkStart w:id="1771" w:name="_Toc335998753"/>
      <w:bookmarkStart w:id="1772" w:name="_Toc201569490"/>
      <w:r>
        <w:rPr>
          <w:rFonts w:ascii="Times New Roman" w:hAnsi="Times New Roman" w:eastAsia="楷体_GB2312"/>
          <w:b/>
          <w:sz w:val="24"/>
        </w:rPr>
        <w:t>附件</w:t>
      </w:r>
      <w:r>
        <w:rPr>
          <w:rFonts w:hint="eastAsia" w:ascii="Times New Roman" w:hAnsi="Times New Roman" w:eastAsia="楷体_GB2312"/>
          <w:b/>
          <w:sz w:val="24"/>
        </w:rPr>
        <w:t>九</w:t>
      </w:r>
      <w:r>
        <w:rPr>
          <w:rFonts w:ascii="Times New Roman" w:hAnsi="Times New Roman" w:eastAsia="楷体_GB2312"/>
          <w:b/>
          <w:sz w:val="24"/>
        </w:rPr>
        <w:t>：信托会计处理的原则和方式</w:t>
      </w:r>
      <w:bookmarkEnd w:id="1770"/>
      <w:bookmarkEnd w:id="1771"/>
      <w:bookmarkEnd w:id="1772"/>
    </w:p>
    <w:p w14:paraId="1003C575">
      <w:pPr>
        <w:pStyle w:val="8"/>
        <w:spacing w:before="156" w:beforeLines="50" w:after="156" w:afterLines="50" w:line="360" w:lineRule="auto"/>
        <w:ind w:firstLine="504"/>
        <w:jc w:val="center"/>
        <w:rPr>
          <w:rFonts w:ascii="Times New Roman" w:hAnsi="Times New Roman" w:eastAsia="楷体_GB2312"/>
          <w:b/>
          <w:sz w:val="28"/>
          <w:szCs w:val="28"/>
        </w:rPr>
      </w:pPr>
      <w:r>
        <w:rPr>
          <w:rFonts w:ascii="Times New Roman" w:hAnsi="Times New Roman" w:eastAsia="楷体_GB2312"/>
          <w:b/>
          <w:sz w:val="28"/>
          <w:szCs w:val="28"/>
        </w:rPr>
        <w:t>信托会计处理的原则和方式</w:t>
      </w:r>
    </w:p>
    <w:p w14:paraId="7BBADE5C">
      <w:pPr>
        <w:pStyle w:val="56"/>
        <w:numPr>
          <w:ilvl w:val="0"/>
          <w:numId w:val="51"/>
        </w:numPr>
        <w:tabs>
          <w:tab w:val="clear" w:pos="900"/>
        </w:tabs>
        <w:spacing w:before="156" w:beforeLines="50" w:after="156" w:afterLines="50" w:line="360" w:lineRule="auto"/>
        <w:rPr>
          <w:rFonts w:ascii="Times New Roman" w:hAnsi="Times New Roman" w:eastAsia="楷体_GB2312"/>
          <w:szCs w:val="24"/>
          <w:lang w:eastAsia="zh-CN"/>
        </w:rPr>
      </w:pPr>
      <w:r>
        <w:rPr>
          <w:rFonts w:ascii="Times New Roman" w:hAnsi="Times New Roman" w:eastAsia="楷体_GB2312"/>
          <w:szCs w:val="24"/>
          <w:lang w:eastAsia="zh-CN"/>
        </w:rPr>
        <w:t>信托涉及的各交易主体（包括受托人、贷款服务机构和资金保管机构等）应根据本身所负责的事务，采用适当的形式为信托单独记账、单独核算、单独编制财务会计报告。</w:t>
      </w:r>
    </w:p>
    <w:p w14:paraId="4AF16CDA">
      <w:pPr>
        <w:pStyle w:val="56"/>
        <w:numPr>
          <w:ilvl w:val="0"/>
          <w:numId w:val="51"/>
        </w:numPr>
        <w:tabs>
          <w:tab w:val="clear" w:pos="900"/>
        </w:tabs>
        <w:spacing w:before="156" w:beforeLines="50" w:after="156" w:afterLines="50" w:line="360" w:lineRule="auto"/>
        <w:rPr>
          <w:rFonts w:ascii="Times New Roman" w:hAnsi="Times New Roman" w:eastAsia="楷体_GB2312"/>
          <w:szCs w:val="24"/>
          <w:lang w:eastAsia="zh-CN"/>
        </w:rPr>
      </w:pPr>
      <w:r>
        <w:rPr>
          <w:rFonts w:ascii="Times New Roman" w:hAnsi="Times New Roman" w:eastAsia="楷体_GB2312"/>
          <w:szCs w:val="24"/>
          <w:lang w:eastAsia="zh-CN"/>
        </w:rPr>
        <w:t>信托涉及的各交易主体应根据中华人民共和国财政部于2006年2月15日颁布的《企业会计准则－基本准则》和38项具体会计准则、其后颁布的企业会计准则应用指南、企业会计准则解释以及其他相关规定进行会计处理，分工完成整个信托过程的会计处理。</w:t>
      </w:r>
    </w:p>
    <w:p w14:paraId="2AE9C3BC">
      <w:pPr>
        <w:pStyle w:val="56"/>
        <w:numPr>
          <w:ilvl w:val="0"/>
          <w:numId w:val="51"/>
        </w:numPr>
        <w:tabs>
          <w:tab w:val="clear" w:pos="900"/>
        </w:tabs>
        <w:spacing w:before="156" w:beforeLines="50" w:after="156" w:afterLines="50" w:line="360" w:lineRule="auto"/>
        <w:rPr>
          <w:rFonts w:ascii="Times New Roman" w:hAnsi="Times New Roman" w:eastAsia="楷体_GB2312"/>
          <w:szCs w:val="24"/>
          <w:lang w:eastAsia="zh-CN"/>
        </w:rPr>
      </w:pPr>
      <w:r>
        <w:rPr>
          <w:rFonts w:ascii="Times New Roman" w:hAnsi="Times New Roman" w:eastAsia="楷体_GB2312"/>
          <w:szCs w:val="24"/>
          <w:lang w:eastAsia="zh-CN"/>
        </w:rPr>
        <w:t>受托人根据中华人民共和国财政部于2006年2月15日颁布的《企业会计准则－基本准则》和38项具体会计准则、其后颁布的企业会计准则应用指南、企业会计准则解释以及其他相关规定为信托建立一套完整的核算体系，对“资产”的管理进行总账核算。</w:t>
      </w:r>
    </w:p>
    <w:p w14:paraId="6506C349">
      <w:pPr>
        <w:pStyle w:val="56"/>
        <w:numPr>
          <w:ilvl w:val="0"/>
          <w:numId w:val="51"/>
        </w:numPr>
        <w:tabs>
          <w:tab w:val="clear" w:pos="900"/>
        </w:tabs>
        <w:spacing w:before="156" w:beforeLines="50" w:after="156" w:afterLines="50" w:line="360" w:lineRule="auto"/>
        <w:rPr>
          <w:rFonts w:ascii="Times New Roman" w:hAnsi="Times New Roman" w:eastAsia="楷体_GB2312"/>
          <w:szCs w:val="24"/>
          <w:lang w:eastAsia="zh-CN"/>
        </w:rPr>
      </w:pPr>
      <w:r>
        <w:rPr>
          <w:rFonts w:ascii="Times New Roman" w:hAnsi="Times New Roman" w:eastAsia="楷体_GB2312"/>
          <w:szCs w:val="24"/>
          <w:lang w:eastAsia="zh-CN"/>
        </w:rPr>
        <w:t>受托人对“资产”进行会计核算的直接依据是贷款服务机构报告、贷款服务机构会计信息等统计报告，不同于一般意义上依据原始凭证进行的会计核算。受托人对上述信托财产不进行逐笔的、明细的会计核算。</w:t>
      </w:r>
    </w:p>
    <w:p w14:paraId="4F7EA601">
      <w:pPr>
        <w:pStyle w:val="56"/>
        <w:numPr>
          <w:ilvl w:val="0"/>
          <w:numId w:val="51"/>
        </w:numPr>
        <w:tabs>
          <w:tab w:val="clear" w:pos="900"/>
        </w:tabs>
        <w:spacing w:before="156" w:beforeLines="50" w:after="156" w:afterLines="50" w:line="360" w:lineRule="auto"/>
        <w:rPr>
          <w:rFonts w:ascii="Times New Roman" w:hAnsi="Times New Roman" w:eastAsia="楷体_GB2312"/>
          <w:szCs w:val="24"/>
          <w:lang w:eastAsia="zh-CN"/>
        </w:rPr>
      </w:pPr>
      <w:r>
        <w:rPr>
          <w:rFonts w:ascii="Times New Roman" w:hAnsi="Times New Roman" w:eastAsia="楷体_GB2312"/>
          <w:szCs w:val="24"/>
          <w:lang w:eastAsia="zh-CN"/>
        </w:rPr>
        <w:t>贷款服务机构负责“资产”的逐笔明细核算。贷款服务机构应按一般标准管理、核算信托的“资产”，包括有关管理方法、违约贷款处置程序及方法和账务处理方法。</w:t>
      </w:r>
    </w:p>
    <w:p w14:paraId="48B35013">
      <w:pPr>
        <w:pStyle w:val="56"/>
        <w:numPr>
          <w:ilvl w:val="0"/>
          <w:numId w:val="51"/>
        </w:numPr>
        <w:tabs>
          <w:tab w:val="clear" w:pos="900"/>
        </w:tabs>
        <w:spacing w:before="156" w:beforeLines="50" w:after="156" w:afterLines="50" w:line="360" w:lineRule="auto"/>
        <w:rPr>
          <w:rFonts w:ascii="Times New Roman" w:hAnsi="Times New Roman" w:eastAsia="楷体_GB2312"/>
          <w:szCs w:val="24"/>
          <w:lang w:eastAsia="zh-CN"/>
        </w:rPr>
      </w:pPr>
      <w:r>
        <w:rPr>
          <w:rFonts w:ascii="Times New Roman" w:hAnsi="Times New Roman" w:eastAsia="楷体_GB2312"/>
          <w:szCs w:val="24"/>
          <w:lang w:eastAsia="zh-CN"/>
        </w:rPr>
        <w:t>受托人将贷款服务机构报告和贷款服务机构会计信息作为会计处理依据。贷款服务机构应保证在同一报告期内，贷款服务机构报告和贷款服务机构会计信息的有关内容和其会计账面数字一致。</w:t>
      </w:r>
    </w:p>
    <w:p w14:paraId="2213CF55">
      <w:pPr>
        <w:pStyle w:val="56"/>
        <w:numPr>
          <w:ilvl w:val="0"/>
          <w:numId w:val="51"/>
        </w:numPr>
        <w:tabs>
          <w:tab w:val="clear" w:pos="900"/>
        </w:tabs>
        <w:spacing w:before="156" w:beforeLines="50" w:after="156" w:afterLines="50" w:line="360" w:lineRule="auto"/>
        <w:rPr>
          <w:rFonts w:ascii="Times New Roman" w:hAnsi="Times New Roman" w:eastAsia="楷体_GB2312"/>
          <w:szCs w:val="24"/>
          <w:lang w:eastAsia="zh-CN"/>
        </w:rPr>
      </w:pPr>
      <w:r>
        <w:rPr>
          <w:rFonts w:ascii="Times New Roman" w:hAnsi="Times New Roman" w:eastAsia="楷体_GB2312"/>
          <w:szCs w:val="24"/>
          <w:lang w:eastAsia="zh-CN"/>
        </w:rPr>
        <w:t>受托人依据贷款服务机构报告、资金保管机构报告负责计算信托发生的费用、应付各服务机构报酬和应付资产支持证券持有人的本息，并向资金保管机构发出付款指令。受托人依据贷款服务机构报告、资金保管机构报告计提当月应付的各项费用以及资产支持证券持有人收益。受托人根据相关的贷款服务机构报告、资金保管机构报告核算前一个月计提的各项费用及支付的资产支持证券持有人收益。</w:t>
      </w:r>
    </w:p>
    <w:p w14:paraId="6D05AEF7">
      <w:pPr>
        <w:pStyle w:val="56"/>
        <w:numPr>
          <w:ilvl w:val="0"/>
          <w:numId w:val="51"/>
        </w:numPr>
        <w:tabs>
          <w:tab w:val="clear" w:pos="900"/>
        </w:tabs>
        <w:spacing w:before="156" w:beforeLines="50" w:after="156" w:afterLines="50" w:line="360" w:lineRule="auto"/>
        <w:rPr>
          <w:rFonts w:ascii="Times New Roman" w:hAnsi="Times New Roman" w:eastAsia="楷体_GB2312"/>
          <w:szCs w:val="24"/>
          <w:lang w:eastAsia="zh-CN"/>
        </w:rPr>
      </w:pPr>
      <w:r>
        <w:rPr>
          <w:rFonts w:ascii="Times New Roman" w:hAnsi="Times New Roman" w:eastAsia="楷体_GB2312"/>
          <w:szCs w:val="24"/>
          <w:lang w:eastAsia="zh-CN"/>
        </w:rPr>
        <w:t>因管理信贷资产等产生的会计凭证保存在贷款服务机构处；各项信托费用的结算单据、发票等原始凭证保存在受托人处。上述机构应按财政部会计档案管理有关规定保存上述会计档案。</w:t>
      </w:r>
    </w:p>
    <w:p w14:paraId="0E1637B0">
      <w:pPr>
        <w:pStyle w:val="56"/>
        <w:numPr>
          <w:ilvl w:val="0"/>
          <w:numId w:val="51"/>
        </w:numPr>
        <w:tabs>
          <w:tab w:val="clear" w:pos="900"/>
        </w:tabs>
        <w:spacing w:before="156" w:beforeLines="50" w:after="156" w:afterLines="50" w:line="360" w:lineRule="auto"/>
        <w:rPr>
          <w:rFonts w:ascii="Times New Roman" w:hAnsi="Times New Roman" w:eastAsia="楷体_GB2312"/>
          <w:szCs w:val="24"/>
          <w:lang w:eastAsia="zh-CN"/>
        </w:rPr>
      </w:pPr>
      <w:r>
        <w:rPr>
          <w:rFonts w:ascii="Times New Roman" w:hAnsi="Times New Roman" w:eastAsia="楷体_GB2312"/>
          <w:szCs w:val="24"/>
          <w:lang w:eastAsia="zh-CN"/>
        </w:rPr>
        <w:t>信托终止时受托人出具信托清算报告。清算报告经资产支持证券持有人大会批准后</w:t>
      </w:r>
      <w:r>
        <w:rPr>
          <w:rFonts w:ascii="Times New Roman" w:hAnsi="Times New Roman" w:eastAsia="楷体_GB2312"/>
          <w:lang w:eastAsia="zh-CN"/>
        </w:rPr>
        <w:t>或信托清算报告公告期满“资产支持证券持有人”未提出异议</w:t>
      </w:r>
      <w:r>
        <w:rPr>
          <w:rFonts w:ascii="Times New Roman" w:hAnsi="Times New Roman" w:eastAsia="楷体_GB2312"/>
          <w:szCs w:val="24"/>
          <w:lang w:eastAsia="zh-CN"/>
        </w:rPr>
        <w:t>，信托涉及的各交易主体进行各自账目结转、封存。</w:t>
      </w:r>
    </w:p>
    <w:p w14:paraId="05631B74">
      <w:pPr>
        <w:spacing w:before="156" w:beforeLines="50" w:after="156" w:afterLines="50" w:line="360" w:lineRule="auto"/>
        <w:outlineLvl w:val="0"/>
        <w:rPr>
          <w:rFonts w:ascii="Times New Roman" w:hAnsi="Times New Roman" w:eastAsia="楷体_GB2312"/>
          <w:b/>
          <w:sz w:val="24"/>
        </w:rPr>
        <w:sectPr>
          <w:pgSz w:w="11906" w:h="16838"/>
          <w:pgMar w:top="1440" w:right="1800" w:bottom="1440" w:left="1800" w:header="851" w:footer="992" w:gutter="0"/>
          <w:cols w:space="720" w:num="1"/>
          <w:docGrid w:type="lines" w:linePitch="312" w:charSpace="0"/>
        </w:sectPr>
      </w:pPr>
    </w:p>
    <w:p w14:paraId="4620F3AD">
      <w:pPr>
        <w:pStyle w:val="2"/>
        <w:spacing w:before="100" w:beforeAutospacing="1" w:after="100" w:afterAutospacing="1" w:line="240" w:lineRule="auto"/>
        <w:rPr>
          <w:rFonts w:ascii="Times New Roman" w:hAnsi="Times New Roman" w:eastAsia="楷体_GB2312"/>
          <w:sz w:val="24"/>
        </w:rPr>
      </w:pPr>
      <w:bookmarkStart w:id="1773" w:name="_Toc227694361"/>
      <w:r>
        <w:rPr>
          <w:rFonts w:ascii="Times New Roman" w:hAnsi="Times New Roman" w:eastAsia="楷体_GB2312"/>
          <w:sz w:val="24"/>
        </w:rPr>
        <w:t>附件</w:t>
      </w:r>
      <w:r>
        <w:rPr>
          <w:rFonts w:hint="eastAsia" w:ascii="Times New Roman" w:hAnsi="Times New Roman" w:eastAsia="楷体_GB2312"/>
          <w:sz w:val="24"/>
        </w:rPr>
        <w:t>十</w:t>
      </w:r>
      <w:r>
        <w:rPr>
          <w:rFonts w:ascii="Times New Roman" w:hAnsi="Times New Roman" w:eastAsia="楷体_GB2312"/>
          <w:sz w:val="24"/>
        </w:rPr>
        <w:t>：受托机构月度报告和受托机构年度报告格式</w:t>
      </w:r>
      <w:bookmarkEnd w:id="1773"/>
    </w:p>
    <w:p w14:paraId="79311913">
      <w:pPr>
        <w:spacing w:line="360" w:lineRule="auto"/>
        <w:rPr>
          <w:rFonts w:ascii="Times New Roman" w:hAnsi="Times New Roman" w:eastAsia="楷体_GB2312"/>
          <w:b/>
          <w:i/>
          <w:iCs/>
          <w:color w:val="FF0000"/>
          <w:sz w:val="24"/>
        </w:rPr>
      </w:pPr>
      <w:r>
        <w:rPr>
          <w:rFonts w:ascii="Times New Roman" w:hAnsi="Times New Roman" w:eastAsia="楷体_GB2312"/>
          <w:b/>
          <w:i/>
          <w:iCs/>
          <w:color w:val="FF0000"/>
          <w:sz w:val="24"/>
        </w:rPr>
        <w:t>【注：报告格式与内容需要按届时所适用的最新信息披露指引进行调整并更新。】</w:t>
      </w:r>
    </w:p>
    <w:p w14:paraId="6B9BD6F3">
      <w:pPr>
        <w:rPr>
          <w:rFonts w:ascii="Times New Roman" w:hAnsi="Times New Roman"/>
        </w:rPr>
      </w:pPr>
    </w:p>
    <w:p w14:paraId="54921B97">
      <w:pPr>
        <w:jc w:val="center"/>
        <w:rPr>
          <w:rFonts w:ascii="Times New Roman" w:hAnsi="Times New Roman" w:eastAsia="华文楷体"/>
          <w:b/>
          <w:sz w:val="32"/>
          <w:szCs w:val="32"/>
        </w:rPr>
      </w:pPr>
      <w:r>
        <w:rPr>
          <w:rFonts w:ascii="Times New Roman" w:hAnsi="Times New Roman" w:eastAsia="华文楷体"/>
          <w:b/>
          <w:sz w:val="32"/>
          <w:szCs w:val="32"/>
        </w:rPr>
        <w:t>【信托名称】</w:t>
      </w:r>
    </w:p>
    <w:p w14:paraId="04395EAE">
      <w:pPr>
        <w:jc w:val="center"/>
        <w:rPr>
          <w:rFonts w:ascii="Times New Roman" w:hAnsi="Times New Roman" w:eastAsia="华文楷体"/>
          <w:b/>
          <w:sz w:val="44"/>
        </w:rPr>
      </w:pPr>
      <w:r>
        <w:rPr>
          <w:rFonts w:ascii="Times New Roman" w:hAnsi="Times New Roman" w:eastAsia="华文楷体"/>
          <w:b/>
          <w:sz w:val="32"/>
          <w:szCs w:val="32"/>
        </w:rPr>
        <w:t>受托机构月度/年度报告</w:t>
      </w:r>
    </w:p>
    <w:p w14:paraId="27F1DF20">
      <w:pPr>
        <w:jc w:val="center"/>
        <w:rPr>
          <w:rFonts w:ascii="Times New Roman" w:hAnsi="Times New Roman" w:eastAsia="华文楷体"/>
          <w:b/>
          <w:sz w:val="44"/>
        </w:rPr>
      </w:pPr>
      <w:r>
        <w:rPr>
          <w:rFonts w:ascii="Times New Roman" w:hAnsi="Times New Roman" w:eastAsia="华文楷体"/>
          <w:b/>
          <w:sz w:val="44"/>
        </w:rPr>
        <w:t>第XX期/20XX年度</w:t>
      </w:r>
    </w:p>
    <w:p w14:paraId="0509A505">
      <w:pPr>
        <w:rPr>
          <w:rFonts w:ascii="Times New Roman" w:hAnsi="Times New Roman" w:eastAsia="华文楷体"/>
          <w:b/>
        </w:rPr>
      </w:pPr>
    </w:p>
    <w:tbl>
      <w:tblPr>
        <w:tblStyle w:val="30"/>
        <w:tblW w:w="0" w:type="auto"/>
        <w:jc w:val="center"/>
        <w:tblLayout w:type="fixed"/>
        <w:tblCellMar>
          <w:top w:w="0" w:type="dxa"/>
          <w:left w:w="0" w:type="dxa"/>
          <w:bottom w:w="0" w:type="dxa"/>
          <w:right w:w="0" w:type="dxa"/>
        </w:tblCellMar>
      </w:tblPr>
      <w:tblGrid>
        <w:gridCol w:w="6360"/>
      </w:tblGrid>
      <w:tr w14:paraId="51591499">
        <w:tblPrEx>
          <w:tblCellMar>
            <w:top w:w="0" w:type="dxa"/>
            <w:left w:w="0" w:type="dxa"/>
            <w:bottom w:w="0" w:type="dxa"/>
            <w:right w:w="0" w:type="dxa"/>
          </w:tblCellMar>
        </w:tblPrEx>
        <w:trPr>
          <w:trHeight w:val="1508" w:hRule="atLeast"/>
          <w:jc w:val="center"/>
        </w:trPr>
        <w:tc>
          <w:tcPr>
            <w:tcW w:w="6360" w:type="dxa"/>
            <w:tcBorders>
              <w:top w:val="single" w:color="auto" w:sz="8" w:space="0"/>
              <w:left w:val="single" w:color="auto" w:sz="8" w:space="0"/>
              <w:bottom w:val="single" w:color="auto" w:sz="8" w:space="0"/>
              <w:right w:val="single" w:color="auto" w:sz="8" w:space="0"/>
            </w:tcBorders>
          </w:tcPr>
          <w:p w14:paraId="5E0C74DA">
            <w:pPr>
              <w:jc w:val="center"/>
              <w:rPr>
                <w:rFonts w:ascii="Times New Roman" w:hAnsi="Times New Roman" w:eastAsia="华文楷体"/>
                <w:b/>
              </w:rPr>
            </w:pPr>
            <w:r>
              <w:rPr>
                <w:rFonts w:ascii="Times New Roman" w:hAnsi="Times New Roman" w:eastAsia="华文楷体"/>
                <w:b/>
              </w:rPr>
              <w:t>受托人声明</w:t>
            </w:r>
          </w:p>
          <w:p w14:paraId="1EEBA657">
            <w:pPr>
              <w:ind w:firstLine="420" w:firstLineChars="200"/>
              <w:rPr>
                <w:rFonts w:ascii="Times New Roman" w:hAnsi="Times New Roman" w:eastAsia="华文楷体"/>
                <w:b/>
              </w:rPr>
            </w:pPr>
            <w:r>
              <w:rPr>
                <w:rFonts w:ascii="Times New Roman" w:hAnsi="Times New Roman" w:eastAsia="华文楷体"/>
                <w:b/>
              </w:rPr>
              <w:t>受托人管理信托财产应恪尽职守，履行诚实、信用、谨慎、有效管理义务。依据信托合同规定管理信托财产所产生的风险，由信托财产承担，即由委托人交付的财产以及由受托人对该财产运用后形成的财产承担；受托人违背信托合同、处理信托事务不当使信托财产受到损失，由受托人赔偿。</w:t>
            </w:r>
          </w:p>
        </w:tc>
      </w:tr>
    </w:tbl>
    <w:p w14:paraId="617805E0">
      <w:pPr>
        <w:jc w:val="center"/>
        <w:rPr>
          <w:rFonts w:ascii="Times New Roman" w:hAnsi="Times New Roman" w:eastAsia="华文楷体"/>
          <w:b/>
        </w:rPr>
      </w:pPr>
    </w:p>
    <w:tbl>
      <w:tblPr>
        <w:tblStyle w:val="30"/>
        <w:tblW w:w="0" w:type="auto"/>
        <w:jc w:val="center"/>
        <w:tblLayout w:type="fixed"/>
        <w:tblCellMar>
          <w:top w:w="0" w:type="dxa"/>
          <w:left w:w="0" w:type="dxa"/>
          <w:bottom w:w="0" w:type="dxa"/>
          <w:right w:w="0" w:type="dxa"/>
        </w:tblCellMar>
      </w:tblPr>
      <w:tblGrid>
        <w:gridCol w:w="1680"/>
        <w:gridCol w:w="5670"/>
      </w:tblGrid>
      <w:tr w14:paraId="0C66A5B5">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5486497A">
            <w:pPr>
              <w:jc w:val="right"/>
              <w:rPr>
                <w:rFonts w:ascii="Times New Roman" w:hAnsi="Times New Roman" w:eastAsia="华文楷体"/>
                <w:b/>
              </w:rPr>
            </w:pPr>
            <w:r>
              <w:rPr>
                <w:rFonts w:ascii="Times New Roman" w:hAnsi="Times New Roman" w:eastAsia="华文楷体"/>
                <w:b/>
              </w:rPr>
              <w:t>受托人：</w:t>
            </w:r>
          </w:p>
        </w:tc>
        <w:tc>
          <w:tcPr>
            <w:tcW w:w="5670" w:type="dxa"/>
            <w:tcBorders>
              <w:top w:val="nil"/>
              <w:left w:val="nil"/>
              <w:bottom w:val="nil"/>
              <w:right w:val="nil"/>
            </w:tcBorders>
            <w:vAlign w:val="bottom"/>
          </w:tcPr>
          <w:p w14:paraId="3EBDA4C3">
            <w:pPr>
              <w:rPr>
                <w:rFonts w:ascii="Times New Roman" w:hAnsi="Times New Roman" w:eastAsia="华文楷体"/>
                <w:b/>
              </w:rPr>
            </w:pPr>
            <w:r>
              <w:rPr>
                <w:rFonts w:ascii="Times New Roman" w:hAnsi="Times New Roman" w:eastAsia="华文楷体"/>
                <w:b/>
              </w:rPr>
              <w:t>【受托机构全称】</w:t>
            </w:r>
          </w:p>
        </w:tc>
      </w:tr>
      <w:tr w14:paraId="24F05A5D">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58EFD490">
            <w:pPr>
              <w:jc w:val="right"/>
              <w:rPr>
                <w:rFonts w:ascii="Times New Roman" w:hAnsi="Times New Roman" w:eastAsia="华文楷体"/>
                <w:b/>
              </w:rPr>
            </w:pPr>
            <w:r>
              <w:rPr>
                <w:rFonts w:ascii="Times New Roman" w:hAnsi="Times New Roman" w:eastAsia="华文楷体"/>
                <w:b/>
              </w:rPr>
              <w:t>报告日期：</w:t>
            </w:r>
          </w:p>
        </w:tc>
        <w:tc>
          <w:tcPr>
            <w:tcW w:w="5670" w:type="dxa"/>
            <w:tcBorders>
              <w:top w:val="nil"/>
              <w:left w:val="nil"/>
              <w:bottom w:val="nil"/>
              <w:right w:val="nil"/>
            </w:tcBorders>
            <w:vAlign w:val="bottom"/>
          </w:tcPr>
          <w:p w14:paraId="03BA80EB">
            <w:pPr>
              <w:rPr>
                <w:rFonts w:ascii="Times New Roman" w:hAnsi="Times New Roman" w:eastAsia="华文楷体"/>
                <w:b/>
              </w:rPr>
            </w:pPr>
            <w:r>
              <w:rPr>
                <w:rFonts w:ascii="Times New Roman" w:hAnsi="Times New Roman" w:eastAsia="华文楷体"/>
                <w:b/>
              </w:rPr>
              <w:t>20XX年XX月XX日</w:t>
            </w:r>
          </w:p>
        </w:tc>
      </w:tr>
      <w:tr w14:paraId="499EED3B">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33C774F5">
            <w:pPr>
              <w:jc w:val="right"/>
              <w:rPr>
                <w:rFonts w:ascii="Times New Roman" w:hAnsi="Times New Roman" w:eastAsia="华文楷体"/>
                <w:b/>
              </w:rPr>
            </w:pPr>
          </w:p>
        </w:tc>
        <w:tc>
          <w:tcPr>
            <w:tcW w:w="5670" w:type="dxa"/>
            <w:tcBorders>
              <w:top w:val="nil"/>
              <w:left w:val="nil"/>
              <w:bottom w:val="nil"/>
              <w:right w:val="nil"/>
            </w:tcBorders>
            <w:vAlign w:val="bottom"/>
          </w:tcPr>
          <w:p w14:paraId="05DEA650">
            <w:pPr>
              <w:rPr>
                <w:rFonts w:ascii="Times New Roman" w:hAnsi="Times New Roman" w:eastAsia="华文楷体"/>
                <w:b/>
              </w:rPr>
            </w:pPr>
          </w:p>
        </w:tc>
      </w:tr>
      <w:tr w14:paraId="4705A59B">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70FFC3AD">
            <w:pPr>
              <w:jc w:val="right"/>
              <w:rPr>
                <w:rFonts w:ascii="Times New Roman" w:hAnsi="Times New Roman" w:eastAsia="华文楷体"/>
                <w:b/>
              </w:rPr>
            </w:pPr>
          </w:p>
        </w:tc>
        <w:tc>
          <w:tcPr>
            <w:tcW w:w="5670" w:type="dxa"/>
            <w:tcBorders>
              <w:top w:val="nil"/>
              <w:left w:val="nil"/>
              <w:bottom w:val="nil"/>
              <w:right w:val="nil"/>
            </w:tcBorders>
            <w:vAlign w:val="bottom"/>
          </w:tcPr>
          <w:p w14:paraId="1F02BC7C">
            <w:pPr>
              <w:rPr>
                <w:rFonts w:ascii="Times New Roman" w:hAnsi="Times New Roman" w:eastAsia="华文楷体"/>
                <w:b/>
              </w:rPr>
            </w:pPr>
          </w:p>
        </w:tc>
      </w:tr>
      <w:tr w14:paraId="37BB4073">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3EAF0CDE">
            <w:pPr>
              <w:jc w:val="right"/>
              <w:rPr>
                <w:rFonts w:ascii="Times New Roman" w:hAnsi="Times New Roman" w:eastAsia="华文楷体"/>
                <w:b/>
              </w:rPr>
            </w:pPr>
            <w:r>
              <w:rPr>
                <w:rFonts w:ascii="Times New Roman" w:hAnsi="Times New Roman" w:eastAsia="华文楷体"/>
                <w:b/>
              </w:rPr>
              <w:t>受托人地址：</w:t>
            </w:r>
          </w:p>
        </w:tc>
        <w:tc>
          <w:tcPr>
            <w:tcW w:w="5670" w:type="dxa"/>
            <w:tcBorders>
              <w:top w:val="nil"/>
              <w:left w:val="nil"/>
              <w:bottom w:val="nil"/>
              <w:right w:val="nil"/>
            </w:tcBorders>
            <w:vAlign w:val="bottom"/>
          </w:tcPr>
          <w:p w14:paraId="5C8D6728">
            <w:pPr>
              <w:rPr>
                <w:rFonts w:ascii="Times New Roman" w:hAnsi="Times New Roman" w:eastAsia="华文楷体"/>
              </w:rPr>
            </w:pPr>
          </w:p>
        </w:tc>
      </w:tr>
      <w:tr w14:paraId="34248C8C">
        <w:tblPrEx>
          <w:tblCellMar>
            <w:top w:w="0" w:type="dxa"/>
            <w:left w:w="0" w:type="dxa"/>
            <w:bottom w:w="0" w:type="dxa"/>
            <w:right w:w="0" w:type="dxa"/>
          </w:tblCellMar>
        </w:tblPrEx>
        <w:trPr>
          <w:trHeight w:val="531" w:hRule="atLeast"/>
          <w:jc w:val="center"/>
        </w:trPr>
        <w:tc>
          <w:tcPr>
            <w:tcW w:w="1680" w:type="dxa"/>
            <w:tcBorders>
              <w:top w:val="nil"/>
              <w:left w:val="nil"/>
              <w:bottom w:val="nil"/>
              <w:right w:val="nil"/>
            </w:tcBorders>
            <w:vAlign w:val="bottom"/>
          </w:tcPr>
          <w:p w14:paraId="25A44A3B">
            <w:pPr>
              <w:jc w:val="right"/>
              <w:rPr>
                <w:rFonts w:ascii="Times New Roman" w:hAnsi="Times New Roman" w:eastAsia="华文楷体"/>
                <w:b/>
              </w:rPr>
            </w:pPr>
            <w:r>
              <w:rPr>
                <w:rFonts w:ascii="Times New Roman" w:hAnsi="Times New Roman" w:eastAsia="华文楷体"/>
                <w:b/>
              </w:rPr>
              <w:t>电话：</w:t>
            </w:r>
          </w:p>
        </w:tc>
        <w:tc>
          <w:tcPr>
            <w:tcW w:w="5670" w:type="dxa"/>
            <w:tcBorders>
              <w:top w:val="nil"/>
              <w:left w:val="nil"/>
              <w:bottom w:val="nil"/>
              <w:right w:val="nil"/>
            </w:tcBorders>
            <w:vAlign w:val="bottom"/>
          </w:tcPr>
          <w:p w14:paraId="2AC073BB">
            <w:pPr>
              <w:rPr>
                <w:rFonts w:ascii="Times New Roman" w:hAnsi="Times New Roman" w:eastAsia="华文楷体"/>
                <w:b/>
              </w:rPr>
            </w:pPr>
          </w:p>
        </w:tc>
      </w:tr>
      <w:tr w14:paraId="380B8693">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7930B8DD">
            <w:pPr>
              <w:jc w:val="right"/>
              <w:rPr>
                <w:rFonts w:ascii="Times New Roman" w:hAnsi="Times New Roman" w:eastAsia="华文楷体"/>
                <w:b/>
              </w:rPr>
            </w:pPr>
            <w:r>
              <w:rPr>
                <w:rFonts w:ascii="Times New Roman" w:hAnsi="Times New Roman" w:eastAsia="华文楷体"/>
                <w:b/>
              </w:rPr>
              <w:t>传真：</w:t>
            </w:r>
          </w:p>
        </w:tc>
        <w:tc>
          <w:tcPr>
            <w:tcW w:w="5670" w:type="dxa"/>
            <w:tcBorders>
              <w:top w:val="nil"/>
              <w:left w:val="nil"/>
              <w:bottom w:val="nil"/>
              <w:right w:val="nil"/>
            </w:tcBorders>
            <w:vAlign w:val="bottom"/>
          </w:tcPr>
          <w:p w14:paraId="5D30E69A">
            <w:pPr>
              <w:rPr>
                <w:rFonts w:ascii="Times New Roman" w:hAnsi="Times New Roman" w:eastAsia="华文楷体"/>
                <w:b/>
              </w:rPr>
            </w:pPr>
          </w:p>
        </w:tc>
      </w:tr>
      <w:tr w14:paraId="34B3CBBA">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2D368D12">
            <w:pPr>
              <w:jc w:val="right"/>
              <w:rPr>
                <w:rFonts w:ascii="Times New Roman" w:hAnsi="Times New Roman" w:eastAsia="华文楷体"/>
                <w:b/>
              </w:rPr>
            </w:pPr>
            <w:r>
              <w:rPr>
                <w:rFonts w:ascii="Times New Roman" w:hAnsi="Times New Roman" w:eastAsia="华文楷体"/>
                <w:b/>
              </w:rPr>
              <w:t>公司网址：</w:t>
            </w:r>
          </w:p>
        </w:tc>
        <w:tc>
          <w:tcPr>
            <w:tcW w:w="5670" w:type="dxa"/>
            <w:tcBorders>
              <w:top w:val="nil"/>
              <w:left w:val="nil"/>
              <w:bottom w:val="nil"/>
              <w:right w:val="nil"/>
            </w:tcBorders>
            <w:vAlign w:val="bottom"/>
          </w:tcPr>
          <w:p w14:paraId="20CEB2F3">
            <w:pPr>
              <w:rPr>
                <w:rFonts w:ascii="Times New Roman" w:hAnsi="Times New Roman" w:eastAsia="华文楷体"/>
                <w:b/>
              </w:rPr>
            </w:pPr>
          </w:p>
        </w:tc>
      </w:tr>
      <w:tr w14:paraId="309E8544">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709B61EE">
            <w:pPr>
              <w:jc w:val="right"/>
              <w:rPr>
                <w:rFonts w:ascii="Times New Roman" w:hAnsi="Times New Roman" w:eastAsia="华文楷体"/>
                <w:b/>
              </w:rPr>
            </w:pPr>
            <w:r>
              <w:rPr>
                <w:rFonts w:ascii="Times New Roman" w:hAnsi="Times New Roman" w:eastAsia="华文楷体"/>
                <w:b/>
              </w:rPr>
              <w:t>电子邮件：</w:t>
            </w:r>
          </w:p>
        </w:tc>
        <w:tc>
          <w:tcPr>
            <w:tcW w:w="5670" w:type="dxa"/>
            <w:tcBorders>
              <w:top w:val="nil"/>
              <w:left w:val="nil"/>
              <w:bottom w:val="nil"/>
              <w:right w:val="nil"/>
            </w:tcBorders>
            <w:vAlign w:val="bottom"/>
          </w:tcPr>
          <w:p w14:paraId="1408CC9E">
            <w:pPr>
              <w:rPr>
                <w:rFonts w:ascii="Times New Roman" w:hAnsi="Times New Roman" w:eastAsia="华文楷体"/>
                <w:b/>
              </w:rPr>
            </w:pPr>
          </w:p>
        </w:tc>
      </w:tr>
    </w:tbl>
    <w:p w14:paraId="4C6B6090">
      <w:pPr>
        <w:rPr>
          <w:rFonts w:ascii="Times New Roman" w:hAnsi="Times New Roman" w:eastAsia="华文楷体"/>
          <w:sz w:val="32"/>
        </w:rPr>
      </w:pPr>
    </w:p>
    <w:p w14:paraId="4E644C81">
      <w:pPr>
        <w:rPr>
          <w:rFonts w:ascii="Times New Roman" w:hAnsi="Times New Roman" w:eastAsia="华文楷体"/>
        </w:rPr>
      </w:pPr>
      <w:r>
        <w:rPr>
          <w:rFonts w:ascii="Times New Roman" w:hAnsi="Times New Roman" w:eastAsia="华文楷体"/>
        </w:rPr>
        <w:br w:type="page"/>
      </w:r>
    </w:p>
    <w:tbl>
      <w:tblPr>
        <w:tblStyle w:val="30"/>
        <w:tblW w:w="8613"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0"/>
        <w:gridCol w:w="7655"/>
        <w:gridCol w:w="708"/>
      </w:tblGrid>
      <w:tr w14:paraId="30C755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3" w:type="dxa"/>
            <w:gridSpan w:val="3"/>
            <w:tcBorders>
              <w:bottom w:val="single" w:color="auto" w:sz="4" w:space="0"/>
            </w:tcBorders>
          </w:tcPr>
          <w:p w14:paraId="78D7C2AF">
            <w:pPr>
              <w:jc w:val="center"/>
              <w:rPr>
                <w:rFonts w:ascii="Times New Roman" w:hAnsi="Times New Roman" w:eastAsia="华文楷体"/>
                <w:b/>
                <w:sz w:val="28"/>
              </w:rPr>
            </w:pPr>
            <w:r>
              <w:rPr>
                <w:rFonts w:ascii="Times New Roman" w:hAnsi="Times New Roman" w:eastAsia="华文楷体"/>
                <w:b/>
                <w:sz w:val="28"/>
              </w:rPr>
              <w:t>【信托名称】</w:t>
            </w:r>
          </w:p>
          <w:p w14:paraId="08549AE7">
            <w:pPr>
              <w:jc w:val="center"/>
              <w:rPr>
                <w:rFonts w:ascii="Times New Roman" w:hAnsi="Times New Roman" w:eastAsia="华文楷体"/>
                <w:b/>
              </w:rPr>
            </w:pPr>
            <w:r>
              <w:rPr>
                <w:rFonts w:ascii="Times New Roman" w:hAnsi="Times New Roman" w:eastAsia="华文楷体"/>
                <w:b/>
                <w:sz w:val="28"/>
              </w:rPr>
              <w:t>受托机构月度/年度报告</w:t>
            </w:r>
          </w:p>
        </w:tc>
      </w:tr>
      <w:tr w14:paraId="22109A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50" w:type="dxa"/>
            <w:tcBorders>
              <w:top w:val="single" w:color="auto" w:sz="4" w:space="0"/>
              <w:bottom w:val="nil"/>
            </w:tcBorders>
          </w:tcPr>
          <w:p w14:paraId="6A3A2B4A">
            <w:pPr>
              <w:rPr>
                <w:rFonts w:ascii="Times New Roman" w:hAnsi="Times New Roman" w:eastAsia="华文楷体"/>
              </w:rPr>
            </w:pPr>
          </w:p>
        </w:tc>
        <w:tc>
          <w:tcPr>
            <w:tcW w:w="7655" w:type="dxa"/>
            <w:tcBorders>
              <w:top w:val="single" w:color="auto" w:sz="4" w:space="0"/>
              <w:bottom w:val="nil"/>
            </w:tcBorders>
          </w:tcPr>
          <w:p w14:paraId="549B9D0F">
            <w:pPr>
              <w:ind w:firstLine="360" w:firstLineChars="200"/>
              <w:rPr>
                <w:rFonts w:ascii="Times New Roman" w:hAnsi="Times New Roman" w:eastAsia="华文楷体"/>
              </w:rPr>
            </w:pPr>
            <w:r>
              <w:rPr>
                <w:rFonts w:ascii="Times New Roman" w:hAnsi="Times New Roman" w:eastAsia="华文楷体"/>
                <w:sz w:val="18"/>
              </w:rPr>
              <w:t>20X年X月X日，经委托人【发起机构全称】设立、本公司承诺受托管理的“【信托名称】”依法成立。作为受托人，根据20XX年X月X日【发起机构全称】《贷款服务机构月度/年度报告》、20XX年X月X日【资金保管机构全称】《资金保管机构月度/年度报告》，本公司现向您报告本信托信托财产的管理、运用、处分及收益情况。</w:t>
            </w:r>
          </w:p>
        </w:tc>
        <w:tc>
          <w:tcPr>
            <w:tcW w:w="708" w:type="dxa"/>
            <w:tcBorders>
              <w:top w:val="single" w:color="auto" w:sz="4" w:space="0"/>
              <w:bottom w:val="nil"/>
            </w:tcBorders>
          </w:tcPr>
          <w:p w14:paraId="70E526DB">
            <w:pPr>
              <w:rPr>
                <w:rFonts w:ascii="Times New Roman" w:hAnsi="Times New Roman" w:eastAsia="华文楷体"/>
              </w:rPr>
            </w:pPr>
          </w:p>
        </w:tc>
      </w:tr>
      <w:tr w14:paraId="620F42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50" w:type="dxa"/>
          </w:tcPr>
          <w:p w14:paraId="720A5661">
            <w:pPr>
              <w:rPr>
                <w:rFonts w:ascii="Times New Roman" w:hAnsi="Times New Roman" w:eastAsia="华文楷体"/>
              </w:rPr>
            </w:pPr>
          </w:p>
        </w:tc>
        <w:tc>
          <w:tcPr>
            <w:tcW w:w="7655" w:type="dxa"/>
            <w:tcBorders>
              <w:top w:val="nil"/>
            </w:tcBorders>
          </w:tcPr>
          <w:p w14:paraId="11A0B34A">
            <w:pPr>
              <w:rPr>
                <w:rFonts w:ascii="Times New Roman" w:hAnsi="Times New Roman" w:eastAsia="华文楷体"/>
              </w:rPr>
            </w:pPr>
            <w:r>
              <w:rPr>
                <w:rFonts w:ascii="Times New Roman" w:hAnsi="Times New Roman" w:eastAsia="华文楷体"/>
              </w:rPr>
              <w:t>一、受托人和为证券化提供服务的机构的名称、地址</w:t>
            </w:r>
          </w:p>
          <w:p w14:paraId="5D0ACEA9">
            <w:pPr>
              <w:rPr>
                <w:rFonts w:ascii="Times New Roman" w:hAnsi="Times New Roman" w:eastAsia="华文楷体"/>
              </w:rPr>
            </w:pPr>
            <w:r>
              <w:rPr>
                <w:rFonts w:ascii="Times New Roman" w:hAnsi="Times New Roman" w:eastAsia="华文楷体"/>
              </w:rPr>
              <w:t>二、证券概况</w:t>
            </w:r>
          </w:p>
          <w:p w14:paraId="02A70CC1">
            <w:pPr>
              <w:rPr>
                <w:rFonts w:ascii="Times New Roman" w:hAnsi="Times New Roman" w:eastAsia="华文楷体"/>
              </w:rPr>
            </w:pPr>
            <w:r>
              <w:rPr>
                <w:rFonts w:ascii="Times New Roman" w:hAnsi="Times New Roman" w:eastAsia="华文楷体"/>
              </w:rPr>
              <w:t>三、资产池情况</w:t>
            </w:r>
          </w:p>
          <w:p w14:paraId="5DA0F60B">
            <w:pPr>
              <w:rPr>
                <w:rFonts w:ascii="Times New Roman" w:hAnsi="Times New Roman" w:eastAsia="华文楷体"/>
              </w:rPr>
            </w:pPr>
            <w:r>
              <w:rPr>
                <w:rFonts w:ascii="Times New Roman" w:hAnsi="Times New Roman" w:eastAsia="华文楷体"/>
              </w:rPr>
              <w:t>四、基础资产存续期总体信息</w:t>
            </w:r>
          </w:p>
          <w:p w14:paraId="030BEB1B">
            <w:pPr>
              <w:rPr>
                <w:rFonts w:ascii="Times New Roman" w:hAnsi="Times New Roman" w:eastAsia="华文楷体"/>
              </w:rPr>
            </w:pPr>
            <w:r>
              <w:rPr>
                <w:rFonts w:ascii="Times New Roman" w:hAnsi="Times New Roman" w:eastAsia="华文楷体"/>
              </w:rPr>
              <w:t>五、存续期基础资产持续购买总体情况</w:t>
            </w:r>
          </w:p>
          <w:p w14:paraId="7B470C86">
            <w:pPr>
              <w:rPr>
                <w:rFonts w:ascii="Times New Roman" w:hAnsi="Times New Roman" w:eastAsia="华文楷体"/>
              </w:rPr>
            </w:pPr>
            <w:r>
              <w:rPr>
                <w:rFonts w:ascii="Times New Roman" w:hAnsi="Times New Roman" w:eastAsia="华文楷体"/>
              </w:rPr>
              <w:t>六、存续期基础资产持续购买分布信息</w:t>
            </w:r>
          </w:p>
          <w:p w14:paraId="6FB866D7">
            <w:pPr>
              <w:rPr>
                <w:rFonts w:ascii="Times New Roman" w:hAnsi="Times New Roman" w:eastAsia="华文楷体"/>
              </w:rPr>
            </w:pPr>
            <w:r>
              <w:rPr>
                <w:rFonts w:ascii="Times New Roman" w:hAnsi="Times New Roman" w:eastAsia="华文楷体"/>
              </w:rPr>
              <w:t>五、本期资产支持证券内外部信用增级情况</w:t>
            </w:r>
          </w:p>
          <w:p w14:paraId="104E481C">
            <w:pPr>
              <w:rPr>
                <w:rFonts w:ascii="Times New Roman" w:hAnsi="Times New Roman" w:eastAsia="华文楷体"/>
              </w:rPr>
            </w:pPr>
            <w:r>
              <w:rPr>
                <w:rFonts w:ascii="Times New Roman" w:hAnsi="Times New Roman" w:eastAsia="华文楷体"/>
              </w:rPr>
              <w:t>六、对证券化信托财产和信托事务管理产生重大影响的事项</w:t>
            </w:r>
          </w:p>
          <w:p w14:paraId="26311358">
            <w:pPr>
              <w:rPr>
                <w:rFonts w:ascii="Times New Roman" w:hAnsi="Times New Roman" w:eastAsia="华文楷体"/>
              </w:rPr>
            </w:pPr>
            <w:r>
              <w:rPr>
                <w:rFonts w:ascii="Times New Roman" w:hAnsi="Times New Roman" w:eastAsia="华文楷体"/>
              </w:rPr>
              <w:t>七、信托资金投资情况</w:t>
            </w:r>
          </w:p>
          <w:p w14:paraId="43BFE126">
            <w:pPr>
              <w:rPr>
                <w:rFonts w:ascii="Times New Roman" w:hAnsi="Times New Roman" w:eastAsia="华文楷体"/>
              </w:rPr>
            </w:pPr>
            <w:r>
              <w:rPr>
                <w:rFonts w:ascii="Times New Roman" w:hAnsi="Times New Roman" w:eastAsia="华文楷体"/>
              </w:rPr>
              <w:t>八、其他重大事项报告</w:t>
            </w:r>
          </w:p>
          <w:p w14:paraId="332D41E7">
            <w:pPr>
              <w:rPr>
                <w:rFonts w:ascii="Times New Roman" w:hAnsi="Times New Roman" w:eastAsia="华文楷体"/>
              </w:rPr>
            </w:pPr>
            <w:r>
              <w:rPr>
                <w:rFonts w:ascii="Times New Roman" w:hAnsi="Times New Roman" w:eastAsia="华文楷体"/>
              </w:rPr>
              <w:t>九、报告接收情况说明</w:t>
            </w:r>
          </w:p>
          <w:p w14:paraId="6A45FF40">
            <w:pPr>
              <w:rPr>
                <w:rFonts w:ascii="Times New Roman" w:hAnsi="Times New Roman" w:eastAsia="华文楷体"/>
              </w:rPr>
            </w:pPr>
            <w:r>
              <w:rPr>
                <w:rFonts w:ascii="Times New Roman" w:hAnsi="Times New Roman" w:eastAsia="华文楷体"/>
              </w:rPr>
              <w:t>十、差错更正说明</w:t>
            </w:r>
          </w:p>
          <w:p w14:paraId="1A5E2D44">
            <w:pPr>
              <w:rPr>
                <w:rFonts w:ascii="Times New Roman" w:hAnsi="Times New Roman" w:eastAsia="华文楷体"/>
              </w:rPr>
            </w:pPr>
            <w:r>
              <w:rPr>
                <w:rFonts w:ascii="Times New Roman" w:hAnsi="Times New Roman" w:eastAsia="华文楷体"/>
              </w:rPr>
              <w:t>十一、备查文件</w:t>
            </w:r>
          </w:p>
          <w:p w14:paraId="29FB5C93">
            <w:pPr>
              <w:rPr>
                <w:rFonts w:ascii="Times New Roman" w:hAnsi="Times New Roman" w:eastAsia="华文楷体"/>
              </w:rPr>
            </w:pPr>
          </w:p>
          <w:p w14:paraId="2B1B4932">
            <w:pPr>
              <w:rPr>
                <w:rFonts w:ascii="Times New Roman" w:hAnsi="Times New Roman" w:eastAsia="华文楷体"/>
                <w:sz w:val="18"/>
              </w:rPr>
            </w:pPr>
          </w:p>
        </w:tc>
        <w:tc>
          <w:tcPr>
            <w:tcW w:w="708" w:type="dxa"/>
            <w:tcBorders>
              <w:top w:val="nil"/>
            </w:tcBorders>
          </w:tcPr>
          <w:p w14:paraId="50D3DC2E">
            <w:pPr>
              <w:rPr>
                <w:rFonts w:ascii="Times New Roman" w:hAnsi="Times New Roman" w:eastAsia="华文楷体"/>
              </w:rPr>
            </w:pPr>
          </w:p>
          <w:p w14:paraId="6AB2A275">
            <w:pPr>
              <w:rPr>
                <w:rFonts w:ascii="Times New Roman" w:hAnsi="Times New Roman" w:eastAsia="华文楷体"/>
              </w:rPr>
            </w:pPr>
          </w:p>
        </w:tc>
      </w:tr>
      <w:tr w14:paraId="5EB410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50" w:type="dxa"/>
          </w:tcPr>
          <w:p w14:paraId="7E84E263">
            <w:pPr>
              <w:rPr>
                <w:rFonts w:ascii="Times New Roman" w:hAnsi="Times New Roman" w:eastAsia="华文楷体"/>
                <w:sz w:val="18"/>
              </w:rPr>
            </w:pPr>
            <w:r>
              <w:rPr>
                <w:rFonts w:ascii="Times New Roman" w:hAnsi="Times New Roman" w:eastAsia="华文楷体"/>
                <w:sz w:val="18"/>
              </w:rPr>
              <w:t>注：</w:t>
            </w:r>
          </w:p>
        </w:tc>
        <w:tc>
          <w:tcPr>
            <w:tcW w:w="7655" w:type="dxa"/>
          </w:tcPr>
          <w:p w14:paraId="4AEDE274">
            <w:pPr>
              <w:rPr>
                <w:rFonts w:ascii="Times New Roman" w:hAnsi="Times New Roman" w:eastAsia="华文楷体"/>
                <w:sz w:val="18"/>
              </w:rPr>
            </w:pPr>
            <w:r>
              <w:rPr>
                <w:rFonts w:ascii="Times New Roman" w:hAnsi="Times New Roman" w:eastAsia="华文楷体"/>
                <w:sz w:val="18"/>
              </w:rPr>
              <w:t>1.本报告内容在以下</w:t>
            </w:r>
            <w:r>
              <w:rPr>
                <w:rFonts w:hint="eastAsia" w:ascii="Times New Roman" w:hAnsi="Times New Roman" w:eastAsia="华文楷体"/>
                <w:sz w:val="18"/>
              </w:rPr>
              <w:t>渠道</w:t>
            </w:r>
            <w:r>
              <w:rPr>
                <w:rFonts w:ascii="Times New Roman" w:hAnsi="Times New Roman" w:eastAsia="华文楷体"/>
                <w:sz w:val="18"/>
              </w:rPr>
              <w:t>披露：</w:t>
            </w:r>
            <w:r>
              <w:rPr>
                <w:rFonts w:hint="eastAsia" w:ascii="Times New Roman" w:hAnsi="Times New Roman" w:eastAsia="华文楷体"/>
                <w:sz w:val="18"/>
              </w:rPr>
              <w:t>交易商协会综合业务和信息服务平台、中国货币网、中国债券信息网、北金所官方网站及交易商协会认可的其他方式</w:t>
            </w:r>
            <w:r>
              <w:rPr>
                <w:rFonts w:ascii="Times New Roman" w:hAnsi="Times New Roman" w:eastAsia="华文楷体"/>
                <w:sz w:val="18"/>
              </w:rPr>
              <w:t>。</w:t>
            </w:r>
          </w:p>
          <w:p w14:paraId="23156AF6">
            <w:pPr>
              <w:rPr>
                <w:rFonts w:ascii="Times New Roman" w:hAnsi="Times New Roman" w:eastAsia="华文楷体"/>
                <w:sz w:val="18"/>
              </w:rPr>
            </w:pPr>
            <w:r>
              <w:rPr>
                <w:rFonts w:ascii="Times New Roman" w:hAnsi="Times New Roman" w:eastAsia="华文楷体"/>
                <w:sz w:val="18"/>
              </w:rPr>
              <w:t>2.本报告内容根据贷款服务机构报告、资金保管机构报告等报告内容编制。</w:t>
            </w:r>
          </w:p>
          <w:p w14:paraId="07B52BA6">
            <w:pPr>
              <w:rPr>
                <w:rFonts w:ascii="Times New Roman" w:hAnsi="Times New Roman" w:eastAsia="华文楷体"/>
                <w:sz w:val="18"/>
              </w:rPr>
            </w:pPr>
            <w:r>
              <w:rPr>
                <w:rFonts w:ascii="Times New Roman" w:hAnsi="Times New Roman" w:eastAsia="华文楷体"/>
                <w:sz w:val="18"/>
              </w:rPr>
              <w:t>3.本报告金额单位均以人民币元计。</w:t>
            </w:r>
          </w:p>
          <w:p w14:paraId="4C582F55">
            <w:pPr>
              <w:rPr>
                <w:rFonts w:ascii="Times New Roman" w:hAnsi="Times New Roman" w:eastAsia="华文楷体"/>
                <w:sz w:val="18"/>
              </w:rPr>
            </w:pPr>
            <w:r>
              <w:rPr>
                <w:rFonts w:ascii="Times New Roman" w:hAnsi="Times New Roman" w:eastAsia="华文楷体"/>
                <w:sz w:val="18"/>
              </w:rPr>
              <w:t>4.本报告涵盖的收款期间为:----年--月--日（含/不含该日）至----年--月--日（含该日）</w:t>
            </w:r>
          </w:p>
          <w:p w14:paraId="6E1CBA46">
            <w:pPr>
              <w:rPr>
                <w:rFonts w:ascii="Times New Roman" w:hAnsi="Times New Roman" w:eastAsia="华文楷体"/>
              </w:rPr>
            </w:pPr>
            <w:r>
              <w:rPr>
                <w:rFonts w:ascii="Times New Roman" w:hAnsi="Times New Roman" w:eastAsia="华文楷体"/>
                <w:sz w:val="18"/>
              </w:rPr>
              <w:t>5.本报告涵盖的计息期间为:----年--月--日（含该日）至----年--月--日（不含该日）</w:t>
            </w:r>
          </w:p>
        </w:tc>
        <w:tc>
          <w:tcPr>
            <w:tcW w:w="708" w:type="dxa"/>
          </w:tcPr>
          <w:p w14:paraId="5F230CEF">
            <w:pPr>
              <w:rPr>
                <w:rFonts w:ascii="Times New Roman" w:hAnsi="Times New Roman" w:eastAsia="华文楷体"/>
              </w:rPr>
            </w:pPr>
          </w:p>
        </w:tc>
      </w:tr>
    </w:tbl>
    <w:p w14:paraId="3CE068E0">
      <w:pPr>
        <w:rPr>
          <w:rFonts w:ascii="Times New Roman" w:hAnsi="Times New Roman" w:eastAsia="华文楷体"/>
        </w:rPr>
      </w:pPr>
      <w:r>
        <w:rPr>
          <w:rFonts w:ascii="Times New Roman" w:hAnsi="Times New Roman" w:eastAsia="华文楷体"/>
        </w:rPr>
        <w:br w:type="page"/>
      </w:r>
    </w:p>
    <w:tbl>
      <w:tblPr>
        <w:tblStyle w:val="30"/>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26"/>
        <w:gridCol w:w="2835"/>
        <w:gridCol w:w="2451"/>
        <w:gridCol w:w="1704"/>
      </w:tblGrid>
      <w:tr w14:paraId="4AA7D4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gridSpan w:val="4"/>
            <w:tcBorders>
              <w:bottom w:val="single" w:color="auto" w:sz="4" w:space="0"/>
            </w:tcBorders>
          </w:tcPr>
          <w:p w14:paraId="08243C5C">
            <w:pPr>
              <w:jc w:val="center"/>
              <w:rPr>
                <w:rFonts w:ascii="Times New Roman" w:hAnsi="Times New Roman" w:eastAsia="华文楷体"/>
                <w:b/>
                <w:sz w:val="28"/>
              </w:rPr>
            </w:pPr>
            <w:r>
              <w:rPr>
                <w:rFonts w:ascii="Times New Roman" w:hAnsi="Times New Roman" w:eastAsia="华文楷体"/>
                <w:b/>
                <w:sz w:val="28"/>
              </w:rPr>
              <w:t>【信托名称】</w:t>
            </w:r>
          </w:p>
          <w:p w14:paraId="712C46DF">
            <w:pPr>
              <w:jc w:val="center"/>
              <w:rPr>
                <w:rFonts w:ascii="Times New Roman" w:hAnsi="Times New Roman" w:eastAsia="华文楷体"/>
                <w:b/>
                <w:sz w:val="28"/>
              </w:rPr>
            </w:pPr>
            <w:r>
              <w:rPr>
                <w:rFonts w:ascii="Times New Roman" w:hAnsi="Times New Roman" w:eastAsia="华文楷体"/>
                <w:b/>
                <w:sz w:val="28"/>
              </w:rPr>
              <w:t>受托机构月度/年度报告</w:t>
            </w:r>
          </w:p>
        </w:tc>
      </w:tr>
      <w:tr w14:paraId="2986C2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gridSpan w:val="4"/>
            <w:tcBorders>
              <w:top w:val="single" w:color="auto" w:sz="4" w:space="0"/>
              <w:bottom w:val="single" w:color="auto" w:sz="4" w:space="0"/>
            </w:tcBorders>
          </w:tcPr>
          <w:p w14:paraId="23986C7D">
            <w:pPr>
              <w:rPr>
                <w:rFonts w:ascii="Times New Roman" w:hAnsi="Times New Roman" w:eastAsia="华文楷体"/>
                <w:b/>
              </w:rPr>
            </w:pPr>
            <w:r>
              <w:rPr>
                <w:rFonts w:ascii="Times New Roman" w:hAnsi="Times New Roman" w:eastAsia="华文楷体"/>
                <w:b/>
              </w:rPr>
              <w:t>一、受托人和为证券化提供服务的机构的名称、地址</w:t>
            </w:r>
          </w:p>
        </w:tc>
      </w:tr>
      <w:tr w14:paraId="13A810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26" w:type="dxa"/>
            <w:tcBorders>
              <w:top w:val="single" w:color="auto" w:sz="4" w:space="0"/>
              <w:bottom w:val="single" w:color="auto" w:sz="4" w:space="0"/>
              <w:right w:val="single" w:color="auto" w:sz="4" w:space="0"/>
            </w:tcBorders>
          </w:tcPr>
          <w:p w14:paraId="31E00F66">
            <w:pPr>
              <w:rPr>
                <w:rFonts w:ascii="Times New Roman" w:hAnsi="Times New Roman" w:eastAsia="华文楷体"/>
                <w:b/>
              </w:rPr>
            </w:pPr>
            <w:r>
              <w:rPr>
                <w:rFonts w:ascii="Times New Roman" w:hAnsi="Times New Roman" w:eastAsia="华文楷体"/>
                <w:b/>
              </w:rPr>
              <w:t>机构类型</w:t>
            </w:r>
          </w:p>
        </w:tc>
        <w:tc>
          <w:tcPr>
            <w:tcW w:w="2835" w:type="dxa"/>
            <w:tcBorders>
              <w:top w:val="single" w:color="auto" w:sz="4" w:space="0"/>
              <w:left w:val="single" w:color="auto" w:sz="4" w:space="0"/>
              <w:bottom w:val="single" w:color="auto" w:sz="4" w:space="0"/>
              <w:right w:val="single" w:color="auto" w:sz="4" w:space="0"/>
            </w:tcBorders>
          </w:tcPr>
          <w:p w14:paraId="7BBB9BA9">
            <w:pPr>
              <w:rPr>
                <w:rFonts w:ascii="Times New Roman" w:hAnsi="Times New Roman" w:eastAsia="华文楷体"/>
                <w:b/>
              </w:rPr>
            </w:pPr>
            <w:r>
              <w:rPr>
                <w:rFonts w:ascii="Times New Roman" w:hAnsi="Times New Roman" w:eastAsia="华文楷体"/>
                <w:b/>
              </w:rPr>
              <w:t>名称</w:t>
            </w:r>
          </w:p>
        </w:tc>
        <w:tc>
          <w:tcPr>
            <w:tcW w:w="2451" w:type="dxa"/>
            <w:tcBorders>
              <w:top w:val="single" w:color="auto" w:sz="4" w:space="0"/>
              <w:left w:val="single" w:color="auto" w:sz="4" w:space="0"/>
              <w:bottom w:val="single" w:color="auto" w:sz="4" w:space="0"/>
              <w:right w:val="single" w:color="auto" w:sz="4" w:space="0"/>
            </w:tcBorders>
          </w:tcPr>
          <w:p w14:paraId="674F99E7">
            <w:pPr>
              <w:rPr>
                <w:rFonts w:ascii="Times New Roman" w:hAnsi="Times New Roman" w:eastAsia="华文楷体"/>
                <w:b/>
              </w:rPr>
            </w:pPr>
            <w:r>
              <w:rPr>
                <w:rFonts w:ascii="Times New Roman" w:hAnsi="Times New Roman" w:eastAsia="华文楷体"/>
                <w:b/>
              </w:rPr>
              <w:t>地址</w:t>
            </w:r>
          </w:p>
        </w:tc>
        <w:tc>
          <w:tcPr>
            <w:tcW w:w="1704" w:type="dxa"/>
            <w:tcBorders>
              <w:top w:val="single" w:color="auto" w:sz="4" w:space="0"/>
              <w:left w:val="single" w:color="auto" w:sz="4" w:space="0"/>
              <w:bottom w:val="single" w:color="auto" w:sz="4" w:space="0"/>
            </w:tcBorders>
          </w:tcPr>
          <w:p w14:paraId="73D02854">
            <w:pPr>
              <w:rPr>
                <w:rFonts w:ascii="Times New Roman" w:hAnsi="Times New Roman" w:eastAsia="华文楷体"/>
                <w:b/>
              </w:rPr>
            </w:pPr>
            <w:r>
              <w:rPr>
                <w:rFonts w:ascii="Times New Roman" w:hAnsi="Times New Roman" w:eastAsia="华文楷体"/>
                <w:b/>
              </w:rPr>
              <w:t>联系电话</w:t>
            </w:r>
          </w:p>
        </w:tc>
      </w:tr>
      <w:tr w14:paraId="668F7A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26" w:type="dxa"/>
            <w:tcBorders>
              <w:top w:val="single" w:color="auto" w:sz="4" w:space="0"/>
              <w:bottom w:val="single" w:color="auto" w:sz="4" w:space="0"/>
              <w:right w:val="single" w:color="auto" w:sz="4" w:space="0"/>
            </w:tcBorders>
          </w:tcPr>
          <w:p w14:paraId="3190031C">
            <w:pPr>
              <w:rPr>
                <w:rFonts w:ascii="Times New Roman" w:hAnsi="Times New Roman" w:eastAsia="华文楷体"/>
                <w:sz w:val="18"/>
              </w:rPr>
            </w:pPr>
            <w:r>
              <w:rPr>
                <w:rFonts w:ascii="Times New Roman" w:hAnsi="Times New Roman" w:eastAsia="华文楷体"/>
                <w:sz w:val="18"/>
              </w:rPr>
              <w:t>受托人</w:t>
            </w:r>
          </w:p>
          <w:p w14:paraId="7CD415BF">
            <w:pPr>
              <w:rPr>
                <w:rFonts w:ascii="Times New Roman" w:hAnsi="Times New Roman" w:eastAsia="华文楷体"/>
                <w:sz w:val="18"/>
              </w:rPr>
            </w:pPr>
          </w:p>
        </w:tc>
        <w:tc>
          <w:tcPr>
            <w:tcW w:w="2835" w:type="dxa"/>
            <w:tcBorders>
              <w:top w:val="single" w:color="auto" w:sz="4" w:space="0"/>
              <w:left w:val="single" w:color="auto" w:sz="4" w:space="0"/>
              <w:bottom w:val="single" w:color="auto" w:sz="4" w:space="0"/>
              <w:right w:val="single" w:color="auto" w:sz="4" w:space="0"/>
            </w:tcBorders>
          </w:tcPr>
          <w:p w14:paraId="6F5332A6">
            <w:pPr>
              <w:rPr>
                <w:rFonts w:ascii="Times New Roman" w:hAnsi="Times New Roman" w:eastAsia="华文楷体"/>
                <w:sz w:val="18"/>
              </w:rPr>
            </w:pPr>
          </w:p>
        </w:tc>
        <w:tc>
          <w:tcPr>
            <w:tcW w:w="2451" w:type="dxa"/>
            <w:tcBorders>
              <w:top w:val="single" w:color="auto" w:sz="4" w:space="0"/>
              <w:left w:val="single" w:color="auto" w:sz="4" w:space="0"/>
              <w:bottom w:val="single" w:color="auto" w:sz="4" w:space="0"/>
              <w:right w:val="single" w:color="auto" w:sz="4" w:space="0"/>
            </w:tcBorders>
          </w:tcPr>
          <w:p w14:paraId="65CB0AA8">
            <w:pPr>
              <w:rPr>
                <w:rFonts w:ascii="Times New Roman" w:hAnsi="Times New Roman" w:eastAsia="华文楷体"/>
                <w:sz w:val="18"/>
              </w:rPr>
            </w:pPr>
          </w:p>
        </w:tc>
        <w:tc>
          <w:tcPr>
            <w:tcW w:w="1704" w:type="dxa"/>
            <w:tcBorders>
              <w:top w:val="single" w:color="auto" w:sz="4" w:space="0"/>
              <w:left w:val="single" w:color="auto" w:sz="4" w:space="0"/>
              <w:bottom w:val="single" w:color="auto" w:sz="4" w:space="0"/>
            </w:tcBorders>
          </w:tcPr>
          <w:p w14:paraId="3964AEB7">
            <w:pPr>
              <w:rPr>
                <w:rFonts w:ascii="Times New Roman" w:hAnsi="Times New Roman" w:eastAsia="华文楷体"/>
                <w:sz w:val="18"/>
              </w:rPr>
            </w:pPr>
          </w:p>
        </w:tc>
      </w:tr>
      <w:tr w14:paraId="249588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26" w:type="dxa"/>
            <w:tcBorders>
              <w:top w:val="single" w:color="auto" w:sz="4" w:space="0"/>
              <w:bottom w:val="single" w:color="auto" w:sz="4" w:space="0"/>
              <w:right w:val="single" w:color="auto" w:sz="4" w:space="0"/>
            </w:tcBorders>
          </w:tcPr>
          <w:p w14:paraId="295F0A70">
            <w:pPr>
              <w:rPr>
                <w:rFonts w:ascii="Times New Roman" w:hAnsi="Times New Roman" w:eastAsia="华文楷体"/>
                <w:sz w:val="18"/>
              </w:rPr>
            </w:pPr>
            <w:r>
              <w:rPr>
                <w:rFonts w:ascii="Times New Roman" w:hAnsi="Times New Roman" w:eastAsia="华文楷体"/>
                <w:sz w:val="18"/>
              </w:rPr>
              <w:t>贷款服务机构</w:t>
            </w:r>
          </w:p>
          <w:p w14:paraId="3E202FC6">
            <w:pPr>
              <w:rPr>
                <w:rFonts w:ascii="Times New Roman" w:hAnsi="Times New Roman" w:eastAsia="华文楷体"/>
                <w:sz w:val="18"/>
              </w:rPr>
            </w:pPr>
          </w:p>
        </w:tc>
        <w:tc>
          <w:tcPr>
            <w:tcW w:w="2835" w:type="dxa"/>
            <w:tcBorders>
              <w:top w:val="single" w:color="auto" w:sz="4" w:space="0"/>
              <w:left w:val="single" w:color="auto" w:sz="4" w:space="0"/>
              <w:bottom w:val="single" w:color="auto" w:sz="4" w:space="0"/>
              <w:right w:val="single" w:color="auto" w:sz="4" w:space="0"/>
            </w:tcBorders>
          </w:tcPr>
          <w:p w14:paraId="73D58489">
            <w:pPr>
              <w:rPr>
                <w:rFonts w:ascii="Times New Roman" w:hAnsi="Times New Roman" w:eastAsia="华文楷体"/>
                <w:sz w:val="18"/>
              </w:rPr>
            </w:pPr>
          </w:p>
        </w:tc>
        <w:tc>
          <w:tcPr>
            <w:tcW w:w="2451" w:type="dxa"/>
            <w:tcBorders>
              <w:top w:val="single" w:color="auto" w:sz="4" w:space="0"/>
              <w:left w:val="single" w:color="auto" w:sz="4" w:space="0"/>
              <w:bottom w:val="single" w:color="auto" w:sz="4" w:space="0"/>
              <w:right w:val="single" w:color="auto" w:sz="4" w:space="0"/>
            </w:tcBorders>
          </w:tcPr>
          <w:p w14:paraId="614A7228">
            <w:pPr>
              <w:rPr>
                <w:rFonts w:ascii="Times New Roman" w:hAnsi="Times New Roman" w:eastAsia="华文楷体"/>
                <w:sz w:val="18"/>
              </w:rPr>
            </w:pPr>
          </w:p>
        </w:tc>
        <w:tc>
          <w:tcPr>
            <w:tcW w:w="1704" w:type="dxa"/>
            <w:tcBorders>
              <w:top w:val="single" w:color="auto" w:sz="4" w:space="0"/>
              <w:left w:val="single" w:color="auto" w:sz="4" w:space="0"/>
              <w:bottom w:val="single" w:color="auto" w:sz="4" w:space="0"/>
            </w:tcBorders>
          </w:tcPr>
          <w:p w14:paraId="000A4213">
            <w:pPr>
              <w:rPr>
                <w:rFonts w:ascii="Times New Roman" w:hAnsi="Times New Roman" w:eastAsia="华文楷体"/>
                <w:sz w:val="18"/>
              </w:rPr>
            </w:pPr>
          </w:p>
        </w:tc>
      </w:tr>
      <w:tr w14:paraId="6423C3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26" w:type="dxa"/>
            <w:tcBorders>
              <w:top w:val="single" w:color="auto" w:sz="4" w:space="0"/>
              <w:bottom w:val="single" w:color="auto" w:sz="4" w:space="0"/>
              <w:right w:val="single" w:color="auto" w:sz="4" w:space="0"/>
            </w:tcBorders>
          </w:tcPr>
          <w:p w14:paraId="17AA24E8">
            <w:pPr>
              <w:rPr>
                <w:rFonts w:ascii="Times New Roman" w:hAnsi="Times New Roman" w:eastAsia="华文楷体"/>
                <w:sz w:val="18"/>
              </w:rPr>
            </w:pPr>
            <w:r>
              <w:rPr>
                <w:rFonts w:ascii="Times New Roman" w:hAnsi="Times New Roman" w:eastAsia="华文楷体"/>
                <w:sz w:val="18"/>
              </w:rPr>
              <w:t>资金保管机构</w:t>
            </w:r>
          </w:p>
          <w:p w14:paraId="75568C47">
            <w:pPr>
              <w:rPr>
                <w:rFonts w:ascii="Times New Roman" w:hAnsi="Times New Roman" w:eastAsia="华文楷体"/>
                <w:sz w:val="18"/>
              </w:rPr>
            </w:pPr>
          </w:p>
        </w:tc>
        <w:tc>
          <w:tcPr>
            <w:tcW w:w="2835" w:type="dxa"/>
            <w:tcBorders>
              <w:top w:val="single" w:color="auto" w:sz="4" w:space="0"/>
              <w:left w:val="single" w:color="auto" w:sz="4" w:space="0"/>
              <w:bottom w:val="single" w:color="auto" w:sz="4" w:space="0"/>
              <w:right w:val="single" w:color="auto" w:sz="4" w:space="0"/>
            </w:tcBorders>
          </w:tcPr>
          <w:p w14:paraId="1450823F">
            <w:pPr>
              <w:rPr>
                <w:rFonts w:ascii="Times New Roman" w:hAnsi="Times New Roman" w:eastAsia="华文楷体"/>
                <w:sz w:val="18"/>
                <w:highlight w:val="green"/>
              </w:rPr>
            </w:pPr>
          </w:p>
        </w:tc>
        <w:tc>
          <w:tcPr>
            <w:tcW w:w="2451" w:type="dxa"/>
            <w:tcBorders>
              <w:top w:val="single" w:color="auto" w:sz="4" w:space="0"/>
              <w:left w:val="single" w:color="auto" w:sz="4" w:space="0"/>
              <w:bottom w:val="single" w:color="auto" w:sz="4" w:space="0"/>
              <w:right w:val="single" w:color="auto" w:sz="4" w:space="0"/>
            </w:tcBorders>
          </w:tcPr>
          <w:p w14:paraId="6FA16780">
            <w:pPr>
              <w:rPr>
                <w:rFonts w:ascii="Times New Roman" w:hAnsi="Times New Roman" w:eastAsia="华文楷体"/>
                <w:sz w:val="18"/>
                <w:highlight w:val="green"/>
              </w:rPr>
            </w:pPr>
          </w:p>
        </w:tc>
        <w:tc>
          <w:tcPr>
            <w:tcW w:w="1704" w:type="dxa"/>
            <w:tcBorders>
              <w:top w:val="single" w:color="auto" w:sz="4" w:space="0"/>
              <w:left w:val="single" w:color="auto" w:sz="4" w:space="0"/>
              <w:bottom w:val="single" w:color="auto" w:sz="4" w:space="0"/>
            </w:tcBorders>
          </w:tcPr>
          <w:p w14:paraId="1E0C97AE">
            <w:pPr>
              <w:rPr>
                <w:rFonts w:ascii="Times New Roman" w:hAnsi="Times New Roman" w:eastAsia="华文楷体"/>
                <w:sz w:val="18"/>
              </w:rPr>
            </w:pPr>
          </w:p>
        </w:tc>
      </w:tr>
      <w:tr w14:paraId="77C2F8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26" w:type="dxa"/>
            <w:tcBorders>
              <w:top w:val="single" w:color="auto" w:sz="4" w:space="0"/>
              <w:bottom w:val="single" w:color="auto" w:sz="4" w:space="0"/>
              <w:right w:val="single" w:color="auto" w:sz="4" w:space="0"/>
            </w:tcBorders>
          </w:tcPr>
          <w:p w14:paraId="4B11F427">
            <w:pPr>
              <w:rPr>
                <w:rFonts w:ascii="Times New Roman" w:hAnsi="Times New Roman" w:eastAsia="华文楷体"/>
                <w:sz w:val="18"/>
              </w:rPr>
            </w:pPr>
            <w:r>
              <w:rPr>
                <w:rFonts w:ascii="Times New Roman" w:hAnsi="Times New Roman" w:eastAsia="华文楷体"/>
                <w:sz w:val="18"/>
              </w:rPr>
              <w:t>登记托管机构</w:t>
            </w:r>
          </w:p>
          <w:p w14:paraId="0AD066A5">
            <w:pPr>
              <w:rPr>
                <w:rFonts w:ascii="Times New Roman" w:hAnsi="Times New Roman" w:eastAsia="华文楷体"/>
                <w:sz w:val="18"/>
              </w:rPr>
            </w:pPr>
          </w:p>
        </w:tc>
        <w:tc>
          <w:tcPr>
            <w:tcW w:w="2835" w:type="dxa"/>
            <w:tcBorders>
              <w:top w:val="single" w:color="auto" w:sz="4" w:space="0"/>
              <w:left w:val="single" w:color="auto" w:sz="4" w:space="0"/>
              <w:bottom w:val="single" w:color="auto" w:sz="4" w:space="0"/>
              <w:right w:val="single" w:color="auto" w:sz="4" w:space="0"/>
            </w:tcBorders>
          </w:tcPr>
          <w:p w14:paraId="77FE7FAF">
            <w:pPr>
              <w:rPr>
                <w:rFonts w:ascii="Times New Roman" w:hAnsi="Times New Roman" w:eastAsia="华文楷体"/>
                <w:sz w:val="18"/>
              </w:rPr>
            </w:pPr>
          </w:p>
        </w:tc>
        <w:tc>
          <w:tcPr>
            <w:tcW w:w="2451" w:type="dxa"/>
            <w:tcBorders>
              <w:top w:val="single" w:color="auto" w:sz="4" w:space="0"/>
              <w:left w:val="single" w:color="auto" w:sz="4" w:space="0"/>
              <w:bottom w:val="single" w:color="auto" w:sz="4" w:space="0"/>
              <w:right w:val="single" w:color="auto" w:sz="4" w:space="0"/>
            </w:tcBorders>
          </w:tcPr>
          <w:p w14:paraId="7975622B">
            <w:pPr>
              <w:rPr>
                <w:rFonts w:ascii="Times New Roman" w:hAnsi="Times New Roman" w:eastAsia="华文楷体"/>
                <w:sz w:val="18"/>
              </w:rPr>
            </w:pPr>
          </w:p>
        </w:tc>
        <w:tc>
          <w:tcPr>
            <w:tcW w:w="1704" w:type="dxa"/>
            <w:tcBorders>
              <w:top w:val="single" w:color="auto" w:sz="4" w:space="0"/>
              <w:left w:val="single" w:color="auto" w:sz="4" w:space="0"/>
              <w:bottom w:val="single" w:color="auto" w:sz="4" w:space="0"/>
            </w:tcBorders>
          </w:tcPr>
          <w:p w14:paraId="274406BB">
            <w:pPr>
              <w:rPr>
                <w:rFonts w:ascii="Times New Roman" w:hAnsi="Times New Roman" w:eastAsia="华文楷体"/>
                <w:sz w:val="18"/>
              </w:rPr>
            </w:pPr>
          </w:p>
        </w:tc>
      </w:tr>
      <w:tr w14:paraId="31343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26" w:type="dxa"/>
            <w:tcBorders>
              <w:top w:val="single" w:color="auto" w:sz="4" w:space="0"/>
              <w:bottom w:val="single" w:color="auto" w:sz="4" w:space="0"/>
              <w:right w:val="single" w:color="auto" w:sz="4" w:space="0"/>
            </w:tcBorders>
          </w:tcPr>
          <w:p w14:paraId="0DB85BDA">
            <w:pPr>
              <w:rPr>
                <w:rFonts w:ascii="Times New Roman" w:hAnsi="Times New Roman" w:eastAsia="华文楷体"/>
                <w:sz w:val="18"/>
              </w:rPr>
            </w:pPr>
            <w:r>
              <w:rPr>
                <w:rFonts w:ascii="Times New Roman" w:hAnsi="Times New Roman" w:eastAsia="华文楷体"/>
                <w:sz w:val="18"/>
              </w:rPr>
              <w:t>支付代理机构</w:t>
            </w:r>
          </w:p>
        </w:tc>
        <w:tc>
          <w:tcPr>
            <w:tcW w:w="2835" w:type="dxa"/>
            <w:tcBorders>
              <w:top w:val="single" w:color="auto" w:sz="4" w:space="0"/>
              <w:left w:val="single" w:color="auto" w:sz="4" w:space="0"/>
              <w:bottom w:val="single" w:color="auto" w:sz="4" w:space="0"/>
              <w:right w:val="single" w:color="auto" w:sz="4" w:space="0"/>
            </w:tcBorders>
          </w:tcPr>
          <w:p w14:paraId="74A86AF9">
            <w:pPr>
              <w:rPr>
                <w:rFonts w:ascii="Times New Roman" w:hAnsi="Times New Roman" w:eastAsia="华文楷体"/>
                <w:sz w:val="18"/>
              </w:rPr>
            </w:pPr>
          </w:p>
        </w:tc>
        <w:tc>
          <w:tcPr>
            <w:tcW w:w="2451" w:type="dxa"/>
            <w:tcBorders>
              <w:top w:val="single" w:color="auto" w:sz="4" w:space="0"/>
              <w:left w:val="single" w:color="auto" w:sz="4" w:space="0"/>
              <w:bottom w:val="single" w:color="auto" w:sz="4" w:space="0"/>
              <w:right w:val="single" w:color="auto" w:sz="4" w:space="0"/>
            </w:tcBorders>
          </w:tcPr>
          <w:p w14:paraId="7C1CB5CF">
            <w:pPr>
              <w:rPr>
                <w:rFonts w:ascii="Times New Roman" w:hAnsi="Times New Roman" w:eastAsia="华文楷体"/>
                <w:sz w:val="18"/>
              </w:rPr>
            </w:pPr>
          </w:p>
        </w:tc>
        <w:tc>
          <w:tcPr>
            <w:tcW w:w="1704" w:type="dxa"/>
            <w:tcBorders>
              <w:top w:val="single" w:color="auto" w:sz="4" w:space="0"/>
              <w:left w:val="single" w:color="auto" w:sz="4" w:space="0"/>
              <w:bottom w:val="single" w:color="auto" w:sz="4" w:space="0"/>
            </w:tcBorders>
          </w:tcPr>
          <w:p w14:paraId="7477C101">
            <w:pPr>
              <w:rPr>
                <w:rFonts w:ascii="Times New Roman" w:hAnsi="Times New Roman" w:eastAsia="华文楷体"/>
                <w:sz w:val="18"/>
              </w:rPr>
            </w:pPr>
          </w:p>
        </w:tc>
      </w:tr>
    </w:tbl>
    <w:p w14:paraId="3B677690">
      <w:pPr>
        <w:rPr>
          <w:rFonts w:ascii="Times New Roman" w:hAnsi="Times New Roman" w:eastAsia="华文楷体"/>
        </w:rPr>
      </w:pPr>
    </w:p>
    <w:p w14:paraId="0B3C4EC7">
      <w:pPr>
        <w:rPr>
          <w:rFonts w:ascii="Times New Roman" w:hAnsi="Times New Roman" w:eastAsia="华文楷体"/>
        </w:rPr>
      </w:pPr>
    </w:p>
    <w:p w14:paraId="23A6E151">
      <w:pPr>
        <w:rPr>
          <w:rFonts w:ascii="Times New Roman" w:hAnsi="Times New Roman" w:eastAsia="华文楷体"/>
        </w:rPr>
        <w:sectPr>
          <w:pgSz w:w="11906" w:h="16838"/>
          <w:pgMar w:top="1440" w:right="1800" w:bottom="1440" w:left="1800" w:header="851" w:footer="992" w:gutter="0"/>
          <w:cols w:space="720" w:num="1"/>
          <w:docGrid w:type="lines" w:linePitch="312" w:charSpace="0"/>
        </w:sectPr>
      </w:pPr>
    </w:p>
    <w:p w14:paraId="541E9CAB">
      <w:pPr>
        <w:rPr>
          <w:rFonts w:ascii="Times New Roman" w:hAnsi="Times New Roman" w:eastAsia="华文楷体"/>
        </w:rPr>
      </w:pPr>
    </w:p>
    <w:tbl>
      <w:tblPr>
        <w:tblStyle w:val="30"/>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5670"/>
      </w:tblGrid>
      <w:tr w14:paraId="1B983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2"/>
            <w:tcBorders>
              <w:bottom w:val="single" w:color="auto" w:sz="4" w:space="0"/>
            </w:tcBorders>
          </w:tcPr>
          <w:p w14:paraId="356D2776">
            <w:pPr>
              <w:jc w:val="center"/>
              <w:rPr>
                <w:rFonts w:ascii="Times New Roman" w:hAnsi="Times New Roman" w:eastAsia="华文楷体"/>
                <w:b/>
                <w:sz w:val="28"/>
              </w:rPr>
            </w:pPr>
            <w:r>
              <w:rPr>
                <w:rFonts w:ascii="Times New Roman" w:hAnsi="Times New Roman" w:eastAsia="华文楷体"/>
                <w:b/>
                <w:sz w:val="28"/>
              </w:rPr>
              <w:t>【信托名称】</w:t>
            </w:r>
          </w:p>
          <w:p w14:paraId="378F9D74">
            <w:pPr>
              <w:jc w:val="center"/>
              <w:rPr>
                <w:rFonts w:ascii="Times New Roman" w:hAnsi="Times New Roman" w:eastAsia="华文楷体"/>
                <w:b/>
              </w:rPr>
            </w:pPr>
            <w:r>
              <w:rPr>
                <w:rFonts w:ascii="Times New Roman" w:hAnsi="Times New Roman" w:eastAsia="华文楷体"/>
                <w:b/>
                <w:sz w:val="28"/>
              </w:rPr>
              <w:t>受托机构月度/年度报告</w:t>
            </w:r>
          </w:p>
        </w:tc>
      </w:tr>
      <w:tr w14:paraId="6679F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2"/>
            <w:tcBorders>
              <w:top w:val="single" w:color="auto" w:sz="4" w:space="0"/>
              <w:bottom w:val="nil"/>
            </w:tcBorders>
          </w:tcPr>
          <w:p w14:paraId="3AAF6D76">
            <w:pPr>
              <w:rPr>
                <w:rFonts w:ascii="Times New Roman" w:hAnsi="Times New Roman" w:eastAsia="华文楷体"/>
                <w:b/>
              </w:rPr>
            </w:pPr>
            <w:r>
              <w:rPr>
                <w:rFonts w:ascii="Times New Roman" w:hAnsi="Times New Roman" w:eastAsia="华文楷体"/>
                <w:b/>
              </w:rPr>
              <w:t>二、证券概况</w:t>
            </w:r>
          </w:p>
          <w:p w14:paraId="770719E9">
            <w:pPr>
              <w:rPr>
                <w:rFonts w:ascii="Times New Roman" w:hAnsi="Times New Roman" w:eastAsia="华文楷体"/>
                <w:b/>
              </w:rPr>
            </w:pPr>
            <w:r>
              <w:rPr>
                <w:rFonts w:ascii="Times New Roman" w:hAnsi="Times New Roman" w:eastAsia="华文楷体"/>
                <w:b/>
              </w:rPr>
              <w:t>（一）资产支持证券日期概况：</w:t>
            </w:r>
          </w:p>
        </w:tc>
      </w:tr>
      <w:tr w14:paraId="600BF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Borders>
              <w:top w:val="nil"/>
              <w:left w:val="single" w:color="auto" w:sz="4" w:space="0"/>
              <w:bottom w:val="single" w:color="auto" w:sz="4" w:space="0"/>
              <w:right w:val="nil"/>
            </w:tcBorders>
          </w:tcPr>
          <w:p w14:paraId="70C0A081">
            <w:pPr>
              <w:rPr>
                <w:rFonts w:ascii="Times New Roman" w:hAnsi="Times New Roman" w:eastAsia="华文楷体"/>
                <w:sz w:val="18"/>
                <w:szCs w:val="18"/>
              </w:rPr>
            </w:pPr>
          </w:p>
        </w:tc>
        <w:tc>
          <w:tcPr>
            <w:tcW w:w="5670" w:type="dxa"/>
            <w:tcBorders>
              <w:top w:val="nil"/>
              <w:left w:val="nil"/>
              <w:bottom w:val="single" w:color="auto" w:sz="4" w:space="0"/>
              <w:right w:val="single" w:color="auto" w:sz="4" w:space="0"/>
            </w:tcBorders>
          </w:tcPr>
          <w:p w14:paraId="28DA76CA">
            <w:pPr>
              <w:jc w:val="right"/>
              <w:rPr>
                <w:rFonts w:ascii="Times New Roman" w:hAnsi="Times New Roman" w:eastAsia="华文楷体"/>
                <w:sz w:val="18"/>
                <w:szCs w:val="18"/>
              </w:rPr>
            </w:pPr>
          </w:p>
        </w:tc>
      </w:tr>
      <w:tr w14:paraId="4173B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802" w:type="dxa"/>
            <w:tcBorders>
              <w:top w:val="single" w:color="auto" w:sz="4" w:space="0"/>
              <w:left w:val="single" w:color="auto" w:sz="4" w:space="0"/>
              <w:right w:val="single" w:color="auto" w:sz="4" w:space="0"/>
            </w:tcBorders>
          </w:tcPr>
          <w:p w14:paraId="46D04773">
            <w:pPr>
              <w:rPr>
                <w:rFonts w:ascii="Times New Roman" w:hAnsi="Times New Roman" w:eastAsia="华文楷体"/>
                <w:sz w:val="18"/>
                <w:szCs w:val="18"/>
              </w:rPr>
            </w:pPr>
            <w:r>
              <w:rPr>
                <w:rFonts w:ascii="Times New Roman" w:hAnsi="Times New Roman" w:eastAsia="华文楷体"/>
                <w:sz w:val="18"/>
                <w:szCs w:val="18"/>
              </w:rPr>
              <w:t>信托设立日</w:t>
            </w:r>
          </w:p>
        </w:tc>
        <w:tc>
          <w:tcPr>
            <w:tcW w:w="5670" w:type="dxa"/>
            <w:tcBorders>
              <w:top w:val="single" w:color="auto" w:sz="4" w:space="0"/>
              <w:left w:val="single" w:color="auto" w:sz="4" w:space="0"/>
              <w:right w:val="single" w:color="auto" w:sz="4" w:space="0"/>
            </w:tcBorders>
          </w:tcPr>
          <w:p w14:paraId="3F51D561">
            <w:pPr>
              <w:jc w:val="right"/>
              <w:rPr>
                <w:rFonts w:ascii="Times New Roman" w:hAnsi="Times New Roman" w:eastAsia="华文楷体"/>
                <w:sz w:val="18"/>
                <w:szCs w:val="18"/>
              </w:rPr>
            </w:pPr>
          </w:p>
        </w:tc>
      </w:tr>
      <w:tr w14:paraId="140E1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802" w:type="dxa"/>
            <w:tcBorders>
              <w:top w:val="single" w:color="auto" w:sz="4" w:space="0"/>
              <w:left w:val="single" w:color="auto" w:sz="4" w:space="0"/>
              <w:right w:val="single" w:color="auto" w:sz="4" w:space="0"/>
            </w:tcBorders>
          </w:tcPr>
          <w:p w14:paraId="0E928355">
            <w:pPr>
              <w:rPr>
                <w:rFonts w:ascii="Times New Roman" w:hAnsi="Times New Roman" w:eastAsia="华文楷体"/>
                <w:sz w:val="18"/>
                <w:szCs w:val="18"/>
              </w:rPr>
            </w:pPr>
            <w:r>
              <w:rPr>
                <w:rFonts w:ascii="Times New Roman" w:hAnsi="Times New Roman" w:eastAsia="华文楷体"/>
                <w:sz w:val="18"/>
                <w:szCs w:val="18"/>
              </w:rPr>
              <w:t>本期期初日</w:t>
            </w:r>
          </w:p>
        </w:tc>
        <w:tc>
          <w:tcPr>
            <w:tcW w:w="5670" w:type="dxa"/>
            <w:tcBorders>
              <w:top w:val="single" w:color="auto" w:sz="4" w:space="0"/>
              <w:left w:val="single" w:color="auto" w:sz="4" w:space="0"/>
              <w:right w:val="single" w:color="auto" w:sz="4" w:space="0"/>
            </w:tcBorders>
          </w:tcPr>
          <w:p w14:paraId="25C51046">
            <w:pPr>
              <w:ind w:left="-107" w:leftChars="-51"/>
              <w:jc w:val="right"/>
              <w:rPr>
                <w:rFonts w:ascii="Times New Roman" w:hAnsi="Times New Roman" w:eastAsia="华文楷体"/>
                <w:sz w:val="18"/>
                <w:szCs w:val="18"/>
              </w:rPr>
            </w:pPr>
          </w:p>
        </w:tc>
      </w:tr>
      <w:tr w14:paraId="71C90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802" w:type="dxa"/>
            <w:tcBorders>
              <w:top w:val="single" w:color="auto" w:sz="4" w:space="0"/>
              <w:left w:val="single" w:color="auto" w:sz="4" w:space="0"/>
              <w:right w:val="single" w:color="auto" w:sz="4" w:space="0"/>
            </w:tcBorders>
          </w:tcPr>
          <w:p w14:paraId="7A95BB4F">
            <w:pPr>
              <w:rPr>
                <w:rFonts w:ascii="Times New Roman" w:hAnsi="Times New Roman" w:eastAsia="华文楷体"/>
                <w:sz w:val="18"/>
                <w:szCs w:val="18"/>
              </w:rPr>
            </w:pPr>
            <w:r>
              <w:rPr>
                <w:rFonts w:ascii="Times New Roman" w:hAnsi="Times New Roman" w:eastAsia="华文楷体"/>
                <w:sz w:val="18"/>
                <w:szCs w:val="18"/>
              </w:rPr>
              <w:t>本期期末日</w:t>
            </w:r>
          </w:p>
        </w:tc>
        <w:tc>
          <w:tcPr>
            <w:tcW w:w="5670" w:type="dxa"/>
            <w:tcBorders>
              <w:top w:val="single" w:color="auto" w:sz="4" w:space="0"/>
              <w:left w:val="single" w:color="auto" w:sz="4" w:space="0"/>
              <w:right w:val="single" w:color="auto" w:sz="4" w:space="0"/>
            </w:tcBorders>
          </w:tcPr>
          <w:p w14:paraId="5D3FC081">
            <w:pPr>
              <w:jc w:val="right"/>
              <w:rPr>
                <w:rFonts w:ascii="Times New Roman" w:hAnsi="Times New Roman" w:eastAsia="华文楷体"/>
                <w:sz w:val="18"/>
                <w:szCs w:val="18"/>
              </w:rPr>
            </w:pPr>
          </w:p>
        </w:tc>
      </w:tr>
      <w:tr w14:paraId="687A4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802" w:type="dxa"/>
            <w:tcBorders>
              <w:top w:val="single" w:color="auto" w:sz="4" w:space="0"/>
              <w:left w:val="single" w:color="auto" w:sz="4" w:space="0"/>
              <w:right w:val="single" w:color="auto" w:sz="4" w:space="0"/>
            </w:tcBorders>
          </w:tcPr>
          <w:p w14:paraId="489091FD">
            <w:pPr>
              <w:rPr>
                <w:rFonts w:ascii="Times New Roman" w:hAnsi="Times New Roman" w:eastAsia="华文楷体"/>
                <w:sz w:val="18"/>
                <w:szCs w:val="18"/>
              </w:rPr>
            </w:pPr>
            <w:r>
              <w:rPr>
                <w:rFonts w:ascii="Times New Roman" w:hAnsi="Times New Roman" w:eastAsia="华文楷体"/>
                <w:sz w:val="18"/>
                <w:szCs w:val="18"/>
              </w:rPr>
              <w:t>计息方式</w:t>
            </w:r>
          </w:p>
        </w:tc>
        <w:tc>
          <w:tcPr>
            <w:tcW w:w="5670" w:type="dxa"/>
            <w:tcBorders>
              <w:top w:val="single" w:color="auto" w:sz="4" w:space="0"/>
              <w:left w:val="single" w:color="auto" w:sz="4" w:space="0"/>
              <w:right w:val="single" w:color="auto" w:sz="4" w:space="0"/>
            </w:tcBorders>
          </w:tcPr>
          <w:p w14:paraId="6D3D6C8D">
            <w:pPr>
              <w:jc w:val="right"/>
              <w:rPr>
                <w:rFonts w:ascii="Times New Roman" w:hAnsi="Times New Roman" w:eastAsia="华文楷体"/>
                <w:sz w:val="18"/>
                <w:szCs w:val="18"/>
              </w:rPr>
            </w:pPr>
          </w:p>
        </w:tc>
      </w:tr>
    </w:tbl>
    <w:p w14:paraId="3728A9E6">
      <w:pPr>
        <w:rPr>
          <w:rFonts w:ascii="Times New Roman" w:hAnsi="Times New Roman" w:eastAsia="华文楷体"/>
        </w:rPr>
      </w:pPr>
    </w:p>
    <w:p w14:paraId="2E0AA3BD">
      <w:pPr>
        <w:rPr>
          <w:rFonts w:ascii="Times New Roman" w:hAnsi="Times New Roman" w:eastAsia="华文楷体"/>
        </w:rPr>
      </w:pPr>
    </w:p>
    <w:p w14:paraId="69385290">
      <w:pPr>
        <w:rPr>
          <w:rFonts w:ascii="Times New Roman" w:hAnsi="Times New Roman" w:eastAsia="华文楷体"/>
        </w:rPr>
        <w:sectPr>
          <w:footerReference r:id="rId8" w:type="default"/>
          <w:pgSz w:w="11906" w:h="16838"/>
          <w:pgMar w:top="1440" w:right="1800" w:bottom="1440" w:left="1800" w:header="851" w:footer="992" w:gutter="0"/>
          <w:cols w:space="720" w:num="1"/>
          <w:docGrid w:type="lines" w:linePitch="312" w:charSpace="0"/>
        </w:sectPr>
      </w:pPr>
    </w:p>
    <w:p w14:paraId="30C45467">
      <w:pPr>
        <w:rPr>
          <w:rFonts w:ascii="Times New Roman" w:hAnsi="Times New Roman" w:eastAsia="华文楷体"/>
        </w:rPr>
      </w:pPr>
    </w:p>
    <w:tbl>
      <w:tblPr>
        <w:tblStyle w:val="30"/>
        <w:tblW w:w="856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25"/>
        <w:gridCol w:w="1546"/>
        <w:gridCol w:w="1374"/>
        <w:gridCol w:w="1545"/>
        <w:gridCol w:w="1374"/>
        <w:gridCol w:w="1203"/>
      </w:tblGrid>
      <w:tr w14:paraId="0D67E8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566" w:type="dxa"/>
            <w:gridSpan w:val="6"/>
            <w:tcBorders>
              <w:bottom w:val="single" w:color="auto" w:sz="4" w:space="0"/>
            </w:tcBorders>
          </w:tcPr>
          <w:p w14:paraId="76E6B115">
            <w:pPr>
              <w:jc w:val="center"/>
              <w:rPr>
                <w:rFonts w:ascii="Times New Roman" w:hAnsi="Times New Roman" w:eastAsia="华文楷体"/>
                <w:b/>
                <w:sz w:val="28"/>
              </w:rPr>
            </w:pPr>
            <w:r>
              <w:rPr>
                <w:rFonts w:ascii="Times New Roman" w:hAnsi="Times New Roman" w:eastAsia="华文楷体"/>
                <w:b/>
                <w:sz w:val="28"/>
              </w:rPr>
              <w:t>【信托名称】</w:t>
            </w:r>
          </w:p>
          <w:p w14:paraId="0B245F47">
            <w:pPr>
              <w:jc w:val="center"/>
              <w:rPr>
                <w:rFonts w:ascii="Times New Roman" w:hAnsi="Times New Roman" w:eastAsia="华文楷体"/>
                <w:b/>
                <w:sz w:val="28"/>
              </w:rPr>
            </w:pPr>
            <w:r>
              <w:rPr>
                <w:rFonts w:ascii="Times New Roman" w:hAnsi="Times New Roman" w:eastAsia="华文楷体"/>
                <w:b/>
                <w:sz w:val="28"/>
              </w:rPr>
              <w:t>受托机构月度/年度报告</w:t>
            </w:r>
          </w:p>
        </w:tc>
      </w:tr>
      <w:tr w14:paraId="6506CE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566" w:type="dxa"/>
            <w:gridSpan w:val="6"/>
            <w:tcBorders>
              <w:top w:val="single" w:color="auto" w:sz="4" w:space="0"/>
              <w:bottom w:val="nil"/>
            </w:tcBorders>
          </w:tcPr>
          <w:p w14:paraId="6660C163">
            <w:pPr>
              <w:rPr>
                <w:rFonts w:ascii="Times New Roman" w:hAnsi="Times New Roman" w:eastAsia="华文楷体"/>
                <w:b/>
              </w:rPr>
            </w:pPr>
            <w:r>
              <w:rPr>
                <w:rFonts w:ascii="Times New Roman" w:hAnsi="Times New Roman" w:eastAsia="华文楷体"/>
                <w:b/>
              </w:rPr>
              <w:t>二、证券概况（续）</w:t>
            </w:r>
          </w:p>
          <w:p w14:paraId="28E7F09F">
            <w:pPr>
              <w:rPr>
                <w:rFonts w:ascii="Times New Roman" w:hAnsi="Times New Roman" w:eastAsia="华文楷体"/>
                <w:b/>
              </w:rPr>
            </w:pPr>
            <w:r>
              <w:rPr>
                <w:rFonts w:ascii="Times New Roman" w:hAnsi="Times New Roman" w:eastAsia="华文楷体"/>
                <w:b/>
              </w:rPr>
              <w:t>（二）各档次证券的本金、利息兑付情况</w:t>
            </w:r>
          </w:p>
        </w:tc>
      </w:tr>
      <w:tr w14:paraId="5FB375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1525" w:type="dxa"/>
            <w:tcBorders>
              <w:top w:val="single" w:color="auto" w:sz="4" w:space="0"/>
              <w:bottom w:val="single" w:color="auto" w:sz="4" w:space="0"/>
              <w:right w:val="single" w:color="auto" w:sz="4" w:space="0"/>
            </w:tcBorders>
          </w:tcPr>
          <w:p w14:paraId="5134285A">
            <w:pPr>
              <w:rPr>
                <w:rFonts w:ascii="Times New Roman" w:hAnsi="Times New Roman" w:eastAsia="华文楷体"/>
                <w:b/>
                <w:sz w:val="18"/>
              </w:rPr>
            </w:pPr>
            <w:r>
              <w:rPr>
                <w:rFonts w:ascii="Times New Roman" w:hAnsi="Times New Roman" w:eastAsia="华文楷体"/>
                <w:b/>
                <w:sz w:val="18"/>
              </w:rPr>
              <w:t>证券分层</w:t>
            </w:r>
          </w:p>
        </w:tc>
        <w:tc>
          <w:tcPr>
            <w:tcW w:w="1546" w:type="dxa"/>
            <w:tcBorders>
              <w:top w:val="single" w:color="auto" w:sz="4" w:space="0"/>
              <w:left w:val="single" w:color="auto" w:sz="4" w:space="0"/>
              <w:bottom w:val="single" w:color="auto" w:sz="4" w:space="0"/>
              <w:right w:val="single" w:color="auto" w:sz="4" w:space="0"/>
            </w:tcBorders>
          </w:tcPr>
          <w:p w14:paraId="58FCEC8B">
            <w:pPr>
              <w:keepNext/>
              <w:keepLines/>
              <w:ind w:right="-250" w:rightChars="-119"/>
              <w:rPr>
                <w:rFonts w:ascii="Times New Roman" w:hAnsi="Times New Roman" w:eastAsia="华文楷体"/>
                <w:b/>
                <w:sz w:val="20"/>
                <w:szCs w:val="20"/>
              </w:rPr>
            </w:pPr>
            <w:r>
              <w:rPr>
                <w:rFonts w:ascii="Times New Roman" w:hAnsi="Times New Roman" w:eastAsia="华文楷体"/>
                <w:b/>
                <w:sz w:val="20"/>
                <w:szCs w:val="20"/>
              </w:rPr>
              <w:t>信托设立日余额</w:t>
            </w:r>
          </w:p>
        </w:tc>
        <w:tc>
          <w:tcPr>
            <w:tcW w:w="1374" w:type="dxa"/>
            <w:tcBorders>
              <w:top w:val="single" w:color="auto" w:sz="4" w:space="0"/>
              <w:left w:val="single" w:color="auto" w:sz="4" w:space="0"/>
              <w:bottom w:val="single" w:color="auto" w:sz="4" w:space="0"/>
              <w:right w:val="single" w:color="auto" w:sz="4" w:space="0"/>
            </w:tcBorders>
          </w:tcPr>
          <w:p w14:paraId="7A0B8741">
            <w:pPr>
              <w:keepNext/>
              <w:keepLines/>
              <w:jc w:val="center"/>
              <w:rPr>
                <w:rFonts w:ascii="Times New Roman" w:hAnsi="Times New Roman" w:eastAsia="华文楷体"/>
                <w:b/>
                <w:sz w:val="20"/>
                <w:szCs w:val="20"/>
              </w:rPr>
            </w:pPr>
            <w:r>
              <w:rPr>
                <w:rFonts w:ascii="Times New Roman" w:hAnsi="Times New Roman" w:eastAsia="华文楷体"/>
                <w:b/>
                <w:sz w:val="20"/>
                <w:szCs w:val="20"/>
              </w:rPr>
              <w:t>本期期初余额</w:t>
            </w:r>
          </w:p>
        </w:tc>
        <w:tc>
          <w:tcPr>
            <w:tcW w:w="1545" w:type="dxa"/>
            <w:tcBorders>
              <w:top w:val="single" w:color="auto" w:sz="4" w:space="0"/>
              <w:left w:val="single" w:color="auto" w:sz="4" w:space="0"/>
              <w:bottom w:val="single" w:color="auto" w:sz="4" w:space="0"/>
              <w:right w:val="single" w:color="auto" w:sz="4" w:space="0"/>
            </w:tcBorders>
          </w:tcPr>
          <w:p w14:paraId="2750C4FF">
            <w:pPr>
              <w:keepNext/>
              <w:keepLines/>
              <w:jc w:val="center"/>
              <w:rPr>
                <w:rFonts w:ascii="Times New Roman" w:hAnsi="Times New Roman" w:eastAsia="华文楷体"/>
                <w:b/>
                <w:sz w:val="20"/>
                <w:szCs w:val="20"/>
              </w:rPr>
            </w:pPr>
            <w:r>
              <w:rPr>
                <w:rFonts w:ascii="Times New Roman" w:hAnsi="Times New Roman" w:eastAsia="华文楷体"/>
                <w:b/>
                <w:sz w:val="20"/>
                <w:szCs w:val="20"/>
              </w:rPr>
              <w:t>本期本金还款</w:t>
            </w:r>
          </w:p>
        </w:tc>
        <w:tc>
          <w:tcPr>
            <w:tcW w:w="1374" w:type="dxa"/>
            <w:tcBorders>
              <w:top w:val="single" w:color="auto" w:sz="4" w:space="0"/>
              <w:left w:val="single" w:color="auto" w:sz="4" w:space="0"/>
              <w:bottom w:val="single" w:color="auto" w:sz="4" w:space="0"/>
              <w:right w:val="single" w:color="auto" w:sz="4" w:space="0"/>
            </w:tcBorders>
          </w:tcPr>
          <w:p w14:paraId="60A23231">
            <w:pPr>
              <w:keepNext/>
              <w:keepLines/>
              <w:jc w:val="center"/>
              <w:rPr>
                <w:rFonts w:ascii="Times New Roman" w:hAnsi="Times New Roman" w:eastAsia="华文楷体"/>
                <w:b/>
                <w:sz w:val="20"/>
                <w:szCs w:val="20"/>
              </w:rPr>
            </w:pPr>
            <w:r>
              <w:rPr>
                <w:rFonts w:ascii="Times New Roman" w:hAnsi="Times New Roman" w:eastAsia="华文楷体"/>
                <w:b/>
                <w:sz w:val="20"/>
                <w:szCs w:val="20"/>
              </w:rPr>
              <w:t>本期期末余额</w:t>
            </w:r>
          </w:p>
        </w:tc>
        <w:tc>
          <w:tcPr>
            <w:tcW w:w="1203" w:type="dxa"/>
            <w:tcBorders>
              <w:top w:val="single" w:color="auto" w:sz="4" w:space="0"/>
              <w:left w:val="single" w:color="auto" w:sz="4" w:space="0"/>
              <w:bottom w:val="single" w:color="auto" w:sz="4" w:space="0"/>
            </w:tcBorders>
          </w:tcPr>
          <w:p w14:paraId="496C6D8C">
            <w:pPr>
              <w:keepNext/>
              <w:keepLines/>
              <w:jc w:val="center"/>
              <w:rPr>
                <w:rFonts w:ascii="Times New Roman" w:hAnsi="Times New Roman" w:eastAsia="华文楷体"/>
                <w:b/>
                <w:sz w:val="20"/>
                <w:szCs w:val="20"/>
              </w:rPr>
            </w:pPr>
            <w:r>
              <w:rPr>
                <w:rFonts w:ascii="Times New Roman" w:hAnsi="Times New Roman" w:eastAsia="华文楷体"/>
                <w:b/>
                <w:sz w:val="20"/>
                <w:szCs w:val="20"/>
              </w:rPr>
              <w:t>兑付比例</w:t>
            </w:r>
          </w:p>
        </w:tc>
      </w:tr>
      <w:tr w14:paraId="75830A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1525" w:type="dxa"/>
            <w:tcBorders>
              <w:top w:val="single" w:color="auto" w:sz="4" w:space="0"/>
              <w:bottom w:val="single" w:color="auto" w:sz="4" w:space="0"/>
              <w:right w:val="single" w:color="auto" w:sz="4" w:space="0"/>
            </w:tcBorders>
          </w:tcPr>
          <w:p w14:paraId="02A97083">
            <w:pPr>
              <w:rPr>
                <w:rFonts w:ascii="Times New Roman" w:hAnsi="Times New Roman" w:eastAsia="华文楷体"/>
                <w:sz w:val="18"/>
                <w:szCs w:val="18"/>
              </w:rPr>
            </w:pPr>
            <w:r>
              <w:rPr>
                <w:rFonts w:ascii="Times New Roman" w:hAnsi="Times New Roman" w:eastAsia="华文楷体"/>
                <w:sz w:val="18"/>
                <w:szCs w:val="18"/>
              </w:rPr>
              <w:t>优先A级</w:t>
            </w:r>
          </w:p>
        </w:tc>
        <w:tc>
          <w:tcPr>
            <w:tcW w:w="1546" w:type="dxa"/>
            <w:tcBorders>
              <w:top w:val="single" w:color="auto" w:sz="4" w:space="0"/>
              <w:left w:val="single" w:color="auto" w:sz="4" w:space="0"/>
              <w:bottom w:val="single" w:color="auto" w:sz="4" w:space="0"/>
              <w:right w:val="single" w:color="auto" w:sz="4" w:space="0"/>
            </w:tcBorders>
          </w:tcPr>
          <w:p w14:paraId="394E0644">
            <w:pPr>
              <w:jc w:val="center"/>
              <w:rPr>
                <w:rFonts w:ascii="Times New Roman" w:hAnsi="Times New Roman" w:eastAsia="华文楷体"/>
                <w:b/>
                <w:sz w:val="18"/>
                <w:szCs w:val="18"/>
              </w:rPr>
            </w:pPr>
          </w:p>
        </w:tc>
        <w:tc>
          <w:tcPr>
            <w:tcW w:w="1374" w:type="dxa"/>
            <w:tcBorders>
              <w:top w:val="single" w:color="auto" w:sz="4" w:space="0"/>
              <w:left w:val="single" w:color="auto" w:sz="4" w:space="0"/>
              <w:bottom w:val="single" w:color="auto" w:sz="4" w:space="0"/>
              <w:right w:val="single" w:color="auto" w:sz="4" w:space="0"/>
            </w:tcBorders>
          </w:tcPr>
          <w:p w14:paraId="01532CC9">
            <w:pPr>
              <w:jc w:val="center"/>
              <w:rPr>
                <w:rFonts w:ascii="Times New Roman" w:hAnsi="Times New Roman" w:eastAsia="华文楷体"/>
                <w:b/>
                <w:sz w:val="18"/>
                <w:szCs w:val="18"/>
              </w:rPr>
            </w:pPr>
          </w:p>
        </w:tc>
        <w:tc>
          <w:tcPr>
            <w:tcW w:w="1545" w:type="dxa"/>
            <w:tcBorders>
              <w:top w:val="single" w:color="auto" w:sz="4" w:space="0"/>
              <w:left w:val="single" w:color="auto" w:sz="4" w:space="0"/>
              <w:bottom w:val="single" w:color="auto" w:sz="4" w:space="0"/>
              <w:right w:val="single" w:color="auto" w:sz="4" w:space="0"/>
            </w:tcBorders>
          </w:tcPr>
          <w:p w14:paraId="6EE9C979">
            <w:pPr>
              <w:jc w:val="center"/>
              <w:rPr>
                <w:rFonts w:ascii="Times New Roman" w:hAnsi="Times New Roman" w:eastAsia="华文楷体"/>
                <w:b/>
                <w:sz w:val="18"/>
                <w:szCs w:val="18"/>
              </w:rPr>
            </w:pPr>
          </w:p>
        </w:tc>
        <w:tc>
          <w:tcPr>
            <w:tcW w:w="1374" w:type="dxa"/>
            <w:tcBorders>
              <w:top w:val="single" w:color="auto" w:sz="4" w:space="0"/>
              <w:left w:val="single" w:color="auto" w:sz="4" w:space="0"/>
              <w:bottom w:val="single" w:color="auto" w:sz="4" w:space="0"/>
              <w:right w:val="single" w:color="auto" w:sz="4" w:space="0"/>
            </w:tcBorders>
          </w:tcPr>
          <w:p w14:paraId="19E3187A">
            <w:pPr>
              <w:jc w:val="center"/>
              <w:rPr>
                <w:rFonts w:ascii="Times New Roman" w:hAnsi="Times New Roman" w:eastAsia="华文楷体"/>
                <w:b/>
                <w:sz w:val="18"/>
                <w:szCs w:val="18"/>
              </w:rPr>
            </w:pPr>
          </w:p>
        </w:tc>
        <w:tc>
          <w:tcPr>
            <w:tcW w:w="1203" w:type="dxa"/>
            <w:tcBorders>
              <w:top w:val="single" w:color="auto" w:sz="4" w:space="0"/>
              <w:left w:val="single" w:color="auto" w:sz="4" w:space="0"/>
              <w:bottom w:val="single" w:color="auto" w:sz="4" w:space="0"/>
            </w:tcBorders>
          </w:tcPr>
          <w:p w14:paraId="382EC687">
            <w:pPr>
              <w:jc w:val="center"/>
              <w:rPr>
                <w:rFonts w:ascii="Times New Roman" w:hAnsi="Times New Roman" w:eastAsia="华文楷体"/>
                <w:b/>
                <w:sz w:val="18"/>
                <w:szCs w:val="18"/>
              </w:rPr>
            </w:pPr>
          </w:p>
        </w:tc>
      </w:tr>
      <w:tr w14:paraId="7428A4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1525" w:type="dxa"/>
            <w:tcBorders>
              <w:top w:val="single" w:color="auto" w:sz="4" w:space="0"/>
              <w:bottom w:val="single" w:color="auto" w:sz="4" w:space="0"/>
              <w:right w:val="single" w:color="auto" w:sz="4" w:space="0"/>
            </w:tcBorders>
          </w:tcPr>
          <w:p w14:paraId="3F34BCB6">
            <w:pPr>
              <w:rPr>
                <w:rFonts w:ascii="Times New Roman" w:hAnsi="Times New Roman" w:eastAsia="华文楷体"/>
                <w:sz w:val="18"/>
                <w:szCs w:val="18"/>
              </w:rPr>
            </w:pPr>
            <w:r>
              <w:rPr>
                <w:rFonts w:ascii="Times New Roman" w:hAnsi="Times New Roman" w:eastAsia="华文楷体"/>
                <w:sz w:val="18"/>
                <w:szCs w:val="18"/>
              </w:rPr>
              <w:t>优先B级</w:t>
            </w:r>
          </w:p>
        </w:tc>
        <w:tc>
          <w:tcPr>
            <w:tcW w:w="1546" w:type="dxa"/>
            <w:tcBorders>
              <w:top w:val="single" w:color="auto" w:sz="4" w:space="0"/>
              <w:left w:val="single" w:color="auto" w:sz="4" w:space="0"/>
              <w:bottom w:val="single" w:color="auto" w:sz="4" w:space="0"/>
              <w:right w:val="single" w:color="auto" w:sz="4" w:space="0"/>
            </w:tcBorders>
          </w:tcPr>
          <w:p w14:paraId="65387159">
            <w:pPr>
              <w:jc w:val="center"/>
              <w:rPr>
                <w:rFonts w:ascii="Times New Roman" w:hAnsi="Times New Roman" w:eastAsia="华文楷体"/>
                <w:b/>
                <w:sz w:val="18"/>
                <w:szCs w:val="18"/>
              </w:rPr>
            </w:pPr>
          </w:p>
        </w:tc>
        <w:tc>
          <w:tcPr>
            <w:tcW w:w="1374" w:type="dxa"/>
            <w:tcBorders>
              <w:top w:val="single" w:color="auto" w:sz="4" w:space="0"/>
              <w:left w:val="single" w:color="auto" w:sz="4" w:space="0"/>
              <w:bottom w:val="single" w:color="auto" w:sz="4" w:space="0"/>
              <w:right w:val="single" w:color="auto" w:sz="4" w:space="0"/>
            </w:tcBorders>
          </w:tcPr>
          <w:p w14:paraId="41615E5D">
            <w:pPr>
              <w:jc w:val="center"/>
              <w:rPr>
                <w:rFonts w:ascii="Times New Roman" w:hAnsi="Times New Roman" w:eastAsia="华文楷体"/>
                <w:b/>
                <w:sz w:val="18"/>
                <w:szCs w:val="18"/>
              </w:rPr>
            </w:pPr>
          </w:p>
        </w:tc>
        <w:tc>
          <w:tcPr>
            <w:tcW w:w="1545" w:type="dxa"/>
            <w:tcBorders>
              <w:top w:val="single" w:color="auto" w:sz="4" w:space="0"/>
              <w:left w:val="single" w:color="auto" w:sz="4" w:space="0"/>
              <w:bottom w:val="single" w:color="auto" w:sz="4" w:space="0"/>
              <w:right w:val="single" w:color="auto" w:sz="4" w:space="0"/>
            </w:tcBorders>
          </w:tcPr>
          <w:p w14:paraId="4F6DF95D">
            <w:pPr>
              <w:jc w:val="center"/>
              <w:rPr>
                <w:rFonts w:ascii="Times New Roman" w:hAnsi="Times New Roman" w:eastAsia="华文楷体"/>
                <w:b/>
                <w:sz w:val="18"/>
                <w:szCs w:val="18"/>
              </w:rPr>
            </w:pPr>
          </w:p>
        </w:tc>
        <w:tc>
          <w:tcPr>
            <w:tcW w:w="1374" w:type="dxa"/>
            <w:tcBorders>
              <w:top w:val="single" w:color="auto" w:sz="4" w:space="0"/>
              <w:left w:val="single" w:color="auto" w:sz="4" w:space="0"/>
              <w:bottom w:val="single" w:color="auto" w:sz="4" w:space="0"/>
              <w:right w:val="single" w:color="auto" w:sz="4" w:space="0"/>
            </w:tcBorders>
          </w:tcPr>
          <w:p w14:paraId="49044DFC">
            <w:pPr>
              <w:jc w:val="center"/>
              <w:rPr>
                <w:rFonts w:ascii="Times New Roman" w:hAnsi="Times New Roman" w:eastAsia="华文楷体"/>
                <w:b/>
                <w:sz w:val="18"/>
                <w:szCs w:val="18"/>
              </w:rPr>
            </w:pPr>
          </w:p>
        </w:tc>
        <w:tc>
          <w:tcPr>
            <w:tcW w:w="1203" w:type="dxa"/>
            <w:tcBorders>
              <w:top w:val="single" w:color="auto" w:sz="4" w:space="0"/>
              <w:left w:val="single" w:color="auto" w:sz="4" w:space="0"/>
              <w:bottom w:val="single" w:color="auto" w:sz="4" w:space="0"/>
            </w:tcBorders>
          </w:tcPr>
          <w:p w14:paraId="45309749">
            <w:pPr>
              <w:jc w:val="center"/>
              <w:rPr>
                <w:rFonts w:ascii="Times New Roman" w:hAnsi="Times New Roman" w:eastAsia="华文楷体"/>
                <w:b/>
                <w:sz w:val="18"/>
                <w:szCs w:val="18"/>
              </w:rPr>
            </w:pPr>
          </w:p>
        </w:tc>
      </w:tr>
      <w:tr w14:paraId="22A8E9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1525" w:type="dxa"/>
            <w:tcBorders>
              <w:top w:val="single" w:color="auto" w:sz="4" w:space="0"/>
              <w:bottom w:val="single" w:color="auto" w:sz="4" w:space="0"/>
              <w:right w:val="single" w:color="auto" w:sz="4" w:space="0"/>
            </w:tcBorders>
          </w:tcPr>
          <w:p w14:paraId="562BAE4B">
            <w:pPr>
              <w:rPr>
                <w:rFonts w:ascii="Times New Roman" w:hAnsi="Times New Roman" w:eastAsia="华文楷体"/>
                <w:b/>
                <w:sz w:val="18"/>
                <w:szCs w:val="18"/>
              </w:rPr>
            </w:pPr>
            <w:r>
              <w:rPr>
                <w:rFonts w:ascii="Times New Roman" w:hAnsi="Times New Roman" w:eastAsia="华文楷体"/>
                <w:sz w:val="18"/>
              </w:rPr>
              <w:t>次级</w:t>
            </w:r>
          </w:p>
        </w:tc>
        <w:tc>
          <w:tcPr>
            <w:tcW w:w="1546" w:type="dxa"/>
            <w:tcBorders>
              <w:top w:val="single" w:color="auto" w:sz="4" w:space="0"/>
              <w:left w:val="single" w:color="auto" w:sz="4" w:space="0"/>
              <w:bottom w:val="single" w:color="auto" w:sz="4" w:space="0"/>
              <w:right w:val="single" w:color="auto" w:sz="4" w:space="0"/>
            </w:tcBorders>
          </w:tcPr>
          <w:p w14:paraId="64CA460A">
            <w:pPr>
              <w:jc w:val="center"/>
              <w:rPr>
                <w:rFonts w:ascii="Times New Roman" w:hAnsi="Times New Roman" w:eastAsia="华文楷体"/>
                <w:b/>
                <w:sz w:val="18"/>
                <w:szCs w:val="18"/>
              </w:rPr>
            </w:pPr>
          </w:p>
        </w:tc>
        <w:tc>
          <w:tcPr>
            <w:tcW w:w="1374" w:type="dxa"/>
            <w:tcBorders>
              <w:top w:val="single" w:color="auto" w:sz="4" w:space="0"/>
              <w:left w:val="single" w:color="auto" w:sz="4" w:space="0"/>
              <w:bottom w:val="single" w:color="auto" w:sz="4" w:space="0"/>
              <w:right w:val="single" w:color="auto" w:sz="4" w:space="0"/>
            </w:tcBorders>
          </w:tcPr>
          <w:p w14:paraId="3EEDE2D2">
            <w:pPr>
              <w:jc w:val="center"/>
              <w:rPr>
                <w:rFonts w:ascii="Times New Roman" w:hAnsi="Times New Roman" w:eastAsia="华文楷体"/>
                <w:b/>
                <w:sz w:val="18"/>
                <w:szCs w:val="18"/>
              </w:rPr>
            </w:pPr>
          </w:p>
        </w:tc>
        <w:tc>
          <w:tcPr>
            <w:tcW w:w="1545" w:type="dxa"/>
            <w:tcBorders>
              <w:top w:val="single" w:color="auto" w:sz="4" w:space="0"/>
              <w:left w:val="single" w:color="auto" w:sz="4" w:space="0"/>
              <w:bottom w:val="single" w:color="auto" w:sz="4" w:space="0"/>
              <w:right w:val="single" w:color="auto" w:sz="4" w:space="0"/>
            </w:tcBorders>
          </w:tcPr>
          <w:p w14:paraId="47236F6D">
            <w:pPr>
              <w:jc w:val="center"/>
              <w:rPr>
                <w:rFonts w:ascii="Times New Roman" w:hAnsi="Times New Roman" w:eastAsia="华文楷体"/>
                <w:b/>
                <w:sz w:val="18"/>
                <w:szCs w:val="18"/>
              </w:rPr>
            </w:pPr>
          </w:p>
        </w:tc>
        <w:tc>
          <w:tcPr>
            <w:tcW w:w="1374" w:type="dxa"/>
            <w:tcBorders>
              <w:top w:val="single" w:color="auto" w:sz="4" w:space="0"/>
              <w:left w:val="single" w:color="auto" w:sz="4" w:space="0"/>
              <w:bottom w:val="single" w:color="auto" w:sz="4" w:space="0"/>
              <w:right w:val="single" w:color="auto" w:sz="4" w:space="0"/>
            </w:tcBorders>
          </w:tcPr>
          <w:p w14:paraId="357679F9">
            <w:pPr>
              <w:jc w:val="center"/>
              <w:rPr>
                <w:rFonts w:ascii="Times New Roman" w:hAnsi="Times New Roman" w:eastAsia="华文楷体"/>
                <w:b/>
                <w:sz w:val="18"/>
                <w:szCs w:val="18"/>
              </w:rPr>
            </w:pPr>
          </w:p>
        </w:tc>
        <w:tc>
          <w:tcPr>
            <w:tcW w:w="1203" w:type="dxa"/>
            <w:tcBorders>
              <w:top w:val="single" w:color="auto" w:sz="4" w:space="0"/>
              <w:left w:val="single" w:color="auto" w:sz="4" w:space="0"/>
              <w:bottom w:val="single" w:color="auto" w:sz="4" w:space="0"/>
            </w:tcBorders>
          </w:tcPr>
          <w:p w14:paraId="1D3202FA">
            <w:pPr>
              <w:jc w:val="center"/>
              <w:rPr>
                <w:rFonts w:ascii="Times New Roman" w:hAnsi="Times New Roman" w:eastAsia="华文楷体"/>
                <w:b/>
                <w:sz w:val="18"/>
                <w:szCs w:val="18"/>
              </w:rPr>
            </w:pPr>
          </w:p>
        </w:tc>
      </w:tr>
    </w:tbl>
    <w:p w14:paraId="4505E0E0">
      <w:pPr>
        <w:rPr>
          <w:rFonts w:ascii="Times New Roman" w:hAnsi="Times New Roman" w:eastAsia="华文楷体"/>
        </w:rPr>
      </w:pPr>
    </w:p>
    <w:p w14:paraId="0D90CB71">
      <w:pPr>
        <w:rPr>
          <w:rFonts w:ascii="Times New Roman" w:hAnsi="Times New Roman" w:eastAsia="华文楷体"/>
        </w:rPr>
      </w:pPr>
      <w:r>
        <w:rPr>
          <w:rFonts w:ascii="Times New Roman" w:hAnsi="Times New Roman" w:eastAsia="华文楷体"/>
        </w:rPr>
        <w:t>注：“兑付比例”计算截</w:t>
      </w:r>
      <w:r>
        <w:rPr>
          <w:rFonts w:hint="eastAsia" w:ascii="Times New Roman" w:hAnsi="Times New Roman" w:eastAsia="华文楷体"/>
        </w:rPr>
        <w:t>至</w:t>
      </w:r>
      <w:r>
        <w:rPr>
          <w:rFonts w:ascii="Times New Roman" w:hAnsi="Times New Roman" w:eastAsia="华文楷体"/>
        </w:rPr>
        <w:t>本报告期末，累计已经兑付本金金额占该档资产支持证券发行规模的比例。</w:t>
      </w:r>
      <w:r>
        <w:rPr>
          <w:rFonts w:ascii="Times New Roman" w:hAnsi="Times New Roman" w:eastAsia="华文楷体"/>
        </w:rPr>
        <w:br w:type="page"/>
      </w:r>
    </w:p>
    <w:tbl>
      <w:tblPr>
        <w:tblStyle w:val="30"/>
        <w:tblW w:w="871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52"/>
        <w:gridCol w:w="1108"/>
        <w:gridCol w:w="1337"/>
        <w:gridCol w:w="1399"/>
        <w:gridCol w:w="961"/>
        <w:gridCol w:w="1048"/>
        <w:gridCol w:w="1312"/>
      </w:tblGrid>
      <w:tr w14:paraId="54FE1C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trPr>
        <w:tc>
          <w:tcPr>
            <w:tcW w:w="8717" w:type="dxa"/>
            <w:gridSpan w:val="7"/>
            <w:tcBorders>
              <w:bottom w:val="single" w:color="auto" w:sz="4" w:space="0"/>
            </w:tcBorders>
          </w:tcPr>
          <w:p w14:paraId="06D96E45">
            <w:pPr>
              <w:jc w:val="center"/>
              <w:rPr>
                <w:rFonts w:ascii="Times New Roman" w:hAnsi="Times New Roman" w:eastAsia="华文楷体"/>
                <w:b/>
                <w:sz w:val="28"/>
              </w:rPr>
            </w:pPr>
            <w:r>
              <w:rPr>
                <w:rFonts w:ascii="Times New Roman" w:hAnsi="Times New Roman" w:eastAsia="华文楷体"/>
                <w:b/>
                <w:sz w:val="28"/>
              </w:rPr>
              <w:t>【信托名称】</w:t>
            </w:r>
          </w:p>
          <w:p w14:paraId="5E67F3BA">
            <w:pPr>
              <w:jc w:val="center"/>
              <w:rPr>
                <w:rFonts w:ascii="Times New Roman" w:hAnsi="Times New Roman" w:eastAsia="华文楷体"/>
                <w:b/>
                <w:sz w:val="28"/>
              </w:rPr>
            </w:pPr>
            <w:r>
              <w:rPr>
                <w:rFonts w:ascii="Times New Roman" w:hAnsi="Times New Roman" w:eastAsia="华文楷体"/>
                <w:b/>
                <w:sz w:val="28"/>
              </w:rPr>
              <w:t>受托机构月度报告</w:t>
            </w:r>
          </w:p>
        </w:tc>
      </w:tr>
      <w:tr w14:paraId="7CE4D1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trPr>
        <w:tc>
          <w:tcPr>
            <w:tcW w:w="8717" w:type="dxa"/>
            <w:gridSpan w:val="7"/>
            <w:tcBorders>
              <w:top w:val="single" w:color="auto" w:sz="4" w:space="0"/>
              <w:bottom w:val="single" w:color="auto" w:sz="4" w:space="0"/>
            </w:tcBorders>
          </w:tcPr>
          <w:p w14:paraId="338FDDB5">
            <w:pPr>
              <w:rPr>
                <w:rFonts w:ascii="Times New Roman" w:hAnsi="Times New Roman" w:eastAsia="华文楷体"/>
                <w:b/>
              </w:rPr>
            </w:pPr>
            <w:r>
              <w:rPr>
                <w:rFonts w:ascii="Times New Roman" w:hAnsi="Times New Roman" w:eastAsia="华文楷体"/>
                <w:b/>
              </w:rPr>
              <w:t>二、证券概况（续）</w:t>
            </w:r>
          </w:p>
          <w:p w14:paraId="313943A5">
            <w:pPr>
              <w:rPr>
                <w:rFonts w:ascii="Times New Roman" w:hAnsi="Times New Roman" w:eastAsia="华文楷体"/>
                <w:b/>
              </w:rPr>
            </w:pPr>
            <w:r>
              <w:rPr>
                <w:rFonts w:ascii="Times New Roman" w:hAnsi="Times New Roman" w:eastAsia="华文楷体"/>
                <w:b/>
              </w:rPr>
              <w:t>（三）各档次证券的本金、利息还款情况（续）</w:t>
            </w:r>
          </w:p>
        </w:tc>
      </w:tr>
      <w:tr w14:paraId="16A64A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6" w:hRule="atLeast"/>
        </w:trPr>
        <w:tc>
          <w:tcPr>
            <w:tcW w:w="1552" w:type="dxa"/>
            <w:tcBorders>
              <w:top w:val="single" w:color="auto" w:sz="4" w:space="0"/>
              <w:bottom w:val="single" w:color="auto" w:sz="4" w:space="0"/>
              <w:right w:val="single" w:color="auto" w:sz="4" w:space="0"/>
            </w:tcBorders>
          </w:tcPr>
          <w:p w14:paraId="7135D8AF">
            <w:pPr>
              <w:rPr>
                <w:rFonts w:ascii="Times New Roman" w:hAnsi="Times New Roman" w:eastAsia="华文楷体"/>
                <w:b/>
                <w:sz w:val="18"/>
                <w:szCs w:val="18"/>
              </w:rPr>
            </w:pPr>
          </w:p>
        </w:tc>
        <w:tc>
          <w:tcPr>
            <w:tcW w:w="1108" w:type="dxa"/>
            <w:tcBorders>
              <w:top w:val="single" w:color="auto" w:sz="4" w:space="0"/>
              <w:left w:val="single" w:color="auto" w:sz="4" w:space="0"/>
              <w:bottom w:val="single" w:color="auto" w:sz="4" w:space="0"/>
              <w:right w:val="single" w:color="auto" w:sz="4" w:space="0"/>
            </w:tcBorders>
          </w:tcPr>
          <w:p w14:paraId="39C6AB7C">
            <w:pPr>
              <w:rPr>
                <w:rFonts w:ascii="Times New Roman" w:hAnsi="Times New Roman" w:eastAsia="华文楷体"/>
                <w:b/>
                <w:sz w:val="18"/>
                <w:szCs w:val="18"/>
              </w:rPr>
            </w:pPr>
            <w:r>
              <w:rPr>
                <w:rFonts w:ascii="Times New Roman" w:hAnsi="Times New Roman" w:eastAsia="华文楷体"/>
                <w:b/>
                <w:sz w:val="18"/>
                <w:szCs w:val="18"/>
              </w:rPr>
              <w:t>执行利率</w:t>
            </w:r>
          </w:p>
        </w:tc>
        <w:tc>
          <w:tcPr>
            <w:tcW w:w="1337" w:type="dxa"/>
            <w:tcBorders>
              <w:top w:val="single" w:color="auto" w:sz="4" w:space="0"/>
              <w:left w:val="single" w:color="auto" w:sz="4" w:space="0"/>
              <w:bottom w:val="single" w:color="auto" w:sz="4" w:space="0"/>
              <w:right w:val="single" w:color="auto" w:sz="4" w:space="0"/>
            </w:tcBorders>
          </w:tcPr>
          <w:p w14:paraId="15AD7BE8">
            <w:pPr>
              <w:rPr>
                <w:rFonts w:ascii="Times New Roman" w:hAnsi="Times New Roman" w:eastAsia="华文楷体"/>
                <w:b/>
                <w:sz w:val="18"/>
                <w:szCs w:val="18"/>
              </w:rPr>
            </w:pPr>
            <w:r>
              <w:rPr>
                <w:rFonts w:ascii="Times New Roman" w:hAnsi="Times New Roman" w:eastAsia="华文楷体"/>
                <w:b/>
                <w:sz w:val="18"/>
                <w:szCs w:val="18"/>
              </w:rPr>
              <w:t>利息支付金额</w:t>
            </w:r>
          </w:p>
        </w:tc>
        <w:tc>
          <w:tcPr>
            <w:tcW w:w="1399" w:type="dxa"/>
            <w:tcBorders>
              <w:top w:val="single" w:color="auto" w:sz="4" w:space="0"/>
              <w:left w:val="single" w:color="auto" w:sz="4" w:space="0"/>
              <w:bottom w:val="single" w:color="auto" w:sz="4" w:space="0"/>
              <w:right w:val="single" w:color="auto" w:sz="4" w:space="0"/>
            </w:tcBorders>
          </w:tcPr>
          <w:p w14:paraId="3B772E2D">
            <w:pPr>
              <w:rPr>
                <w:rFonts w:ascii="Times New Roman" w:hAnsi="Times New Roman" w:eastAsia="华文楷体"/>
                <w:b/>
                <w:sz w:val="18"/>
                <w:szCs w:val="18"/>
              </w:rPr>
            </w:pPr>
            <w:r>
              <w:rPr>
                <w:rFonts w:ascii="Times New Roman" w:hAnsi="Times New Roman" w:eastAsia="华文楷体"/>
                <w:b/>
                <w:sz w:val="18"/>
                <w:szCs w:val="18"/>
              </w:rPr>
              <w:t>每百元支付利息</w:t>
            </w:r>
          </w:p>
        </w:tc>
        <w:tc>
          <w:tcPr>
            <w:tcW w:w="961" w:type="dxa"/>
            <w:tcBorders>
              <w:top w:val="single" w:color="auto" w:sz="4" w:space="0"/>
              <w:left w:val="single" w:color="auto" w:sz="4" w:space="0"/>
              <w:bottom w:val="single" w:color="auto" w:sz="4" w:space="0"/>
              <w:right w:val="single" w:color="auto" w:sz="4" w:space="0"/>
            </w:tcBorders>
          </w:tcPr>
          <w:p w14:paraId="66334558">
            <w:pPr>
              <w:rPr>
                <w:rFonts w:ascii="Times New Roman" w:hAnsi="Times New Roman" w:eastAsia="华文楷体"/>
                <w:b/>
                <w:sz w:val="18"/>
                <w:szCs w:val="18"/>
              </w:rPr>
            </w:pPr>
            <w:r>
              <w:rPr>
                <w:rFonts w:ascii="Times New Roman" w:hAnsi="Times New Roman" w:eastAsia="华文楷体"/>
                <w:b/>
                <w:sz w:val="18"/>
                <w:szCs w:val="18"/>
              </w:rPr>
              <w:t>本金支付额</w:t>
            </w:r>
          </w:p>
        </w:tc>
        <w:tc>
          <w:tcPr>
            <w:tcW w:w="1048" w:type="dxa"/>
            <w:tcBorders>
              <w:top w:val="single" w:color="auto" w:sz="4" w:space="0"/>
              <w:left w:val="single" w:color="auto" w:sz="4" w:space="0"/>
              <w:bottom w:val="single" w:color="auto" w:sz="4" w:space="0"/>
              <w:right w:val="single" w:color="auto" w:sz="4" w:space="0"/>
            </w:tcBorders>
          </w:tcPr>
          <w:p w14:paraId="57F8285E">
            <w:pPr>
              <w:rPr>
                <w:rFonts w:ascii="Times New Roman" w:hAnsi="Times New Roman" w:eastAsia="华文楷体"/>
                <w:b/>
                <w:sz w:val="18"/>
                <w:szCs w:val="18"/>
              </w:rPr>
            </w:pPr>
            <w:r>
              <w:rPr>
                <w:rFonts w:ascii="Times New Roman" w:hAnsi="Times New Roman" w:eastAsia="华文楷体"/>
                <w:b/>
                <w:sz w:val="18"/>
                <w:szCs w:val="18"/>
              </w:rPr>
              <w:t>每百元支付本金</w:t>
            </w:r>
          </w:p>
        </w:tc>
        <w:tc>
          <w:tcPr>
            <w:tcW w:w="1312" w:type="dxa"/>
            <w:tcBorders>
              <w:top w:val="single" w:color="auto" w:sz="4" w:space="0"/>
              <w:left w:val="single" w:color="auto" w:sz="4" w:space="0"/>
              <w:bottom w:val="single" w:color="auto" w:sz="4" w:space="0"/>
            </w:tcBorders>
          </w:tcPr>
          <w:p w14:paraId="66319176">
            <w:pPr>
              <w:rPr>
                <w:rFonts w:ascii="Times New Roman" w:hAnsi="Times New Roman" w:eastAsia="华文楷体"/>
                <w:b/>
                <w:sz w:val="18"/>
                <w:szCs w:val="18"/>
              </w:rPr>
            </w:pPr>
            <w:r>
              <w:rPr>
                <w:rFonts w:ascii="Times New Roman" w:hAnsi="Times New Roman" w:eastAsia="华文楷体"/>
                <w:b/>
                <w:sz w:val="18"/>
                <w:szCs w:val="18"/>
              </w:rPr>
              <w:t>总支付金额</w:t>
            </w:r>
          </w:p>
        </w:tc>
      </w:tr>
      <w:tr w14:paraId="14A755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6" w:hRule="atLeast"/>
        </w:trPr>
        <w:tc>
          <w:tcPr>
            <w:tcW w:w="1552" w:type="dxa"/>
            <w:tcBorders>
              <w:top w:val="single" w:color="auto" w:sz="4" w:space="0"/>
              <w:bottom w:val="single" w:color="auto" w:sz="4" w:space="0"/>
              <w:right w:val="single" w:color="auto" w:sz="4" w:space="0"/>
            </w:tcBorders>
          </w:tcPr>
          <w:p w14:paraId="04892E59">
            <w:pPr>
              <w:rPr>
                <w:rFonts w:ascii="Times New Roman" w:hAnsi="Times New Roman" w:eastAsia="华文楷体"/>
                <w:b/>
                <w:sz w:val="18"/>
                <w:szCs w:val="18"/>
              </w:rPr>
            </w:pPr>
            <w:r>
              <w:rPr>
                <w:rFonts w:ascii="Times New Roman" w:hAnsi="Times New Roman" w:eastAsia="华文楷体"/>
                <w:sz w:val="18"/>
                <w:szCs w:val="18"/>
              </w:rPr>
              <w:t>优先A级</w:t>
            </w:r>
          </w:p>
        </w:tc>
        <w:tc>
          <w:tcPr>
            <w:tcW w:w="1108" w:type="dxa"/>
            <w:tcBorders>
              <w:top w:val="single" w:color="auto" w:sz="4" w:space="0"/>
              <w:left w:val="single" w:color="auto" w:sz="4" w:space="0"/>
              <w:bottom w:val="single" w:color="auto" w:sz="4" w:space="0"/>
              <w:right w:val="single" w:color="auto" w:sz="4" w:space="0"/>
            </w:tcBorders>
          </w:tcPr>
          <w:p w14:paraId="1DC3C07C">
            <w:pPr>
              <w:rPr>
                <w:rFonts w:ascii="Times New Roman" w:hAnsi="Times New Roman" w:eastAsia="华文楷体"/>
                <w:b/>
                <w:sz w:val="18"/>
                <w:szCs w:val="18"/>
              </w:rPr>
            </w:pPr>
          </w:p>
        </w:tc>
        <w:tc>
          <w:tcPr>
            <w:tcW w:w="1337" w:type="dxa"/>
            <w:tcBorders>
              <w:top w:val="single" w:color="auto" w:sz="4" w:space="0"/>
              <w:left w:val="single" w:color="auto" w:sz="4" w:space="0"/>
              <w:bottom w:val="single" w:color="auto" w:sz="4" w:space="0"/>
              <w:right w:val="single" w:color="auto" w:sz="4" w:space="0"/>
            </w:tcBorders>
          </w:tcPr>
          <w:p w14:paraId="79BC18B4">
            <w:pPr>
              <w:rPr>
                <w:rFonts w:ascii="Times New Roman" w:hAnsi="Times New Roman" w:eastAsia="华文楷体"/>
                <w:b/>
                <w:sz w:val="18"/>
                <w:szCs w:val="18"/>
              </w:rPr>
            </w:pPr>
          </w:p>
        </w:tc>
        <w:tc>
          <w:tcPr>
            <w:tcW w:w="1399" w:type="dxa"/>
            <w:tcBorders>
              <w:top w:val="single" w:color="auto" w:sz="4" w:space="0"/>
              <w:left w:val="single" w:color="auto" w:sz="4" w:space="0"/>
              <w:bottom w:val="single" w:color="auto" w:sz="4" w:space="0"/>
              <w:right w:val="single" w:color="auto" w:sz="4" w:space="0"/>
            </w:tcBorders>
          </w:tcPr>
          <w:p w14:paraId="400CB26B">
            <w:pPr>
              <w:rPr>
                <w:rFonts w:ascii="Times New Roman" w:hAnsi="Times New Roman" w:eastAsia="华文楷体"/>
                <w:b/>
                <w:sz w:val="18"/>
                <w:szCs w:val="18"/>
              </w:rPr>
            </w:pPr>
          </w:p>
        </w:tc>
        <w:tc>
          <w:tcPr>
            <w:tcW w:w="961" w:type="dxa"/>
            <w:tcBorders>
              <w:top w:val="single" w:color="auto" w:sz="4" w:space="0"/>
              <w:left w:val="single" w:color="auto" w:sz="4" w:space="0"/>
              <w:bottom w:val="single" w:color="auto" w:sz="4" w:space="0"/>
              <w:right w:val="single" w:color="auto" w:sz="4" w:space="0"/>
            </w:tcBorders>
          </w:tcPr>
          <w:p w14:paraId="4225849E">
            <w:pPr>
              <w:rPr>
                <w:rFonts w:ascii="Times New Roman" w:hAnsi="Times New Roman" w:eastAsia="华文楷体"/>
                <w:b/>
                <w:sz w:val="18"/>
                <w:szCs w:val="18"/>
              </w:rPr>
            </w:pPr>
          </w:p>
        </w:tc>
        <w:tc>
          <w:tcPr>
            <w:tcW w:w="1048" w:type="dxa"/>
            <w:tcBorders>
              <w:top w:val="single" w:color="auto" w:sz="4" w:space="0"/>
              <w:left w:val="single" w:color="auto" w:sz="4" w:space="0"/>
              <w:bottom w:val="single" w:color="auto" w:sz="4" w:space="0"/>
              <w:right w:val="single" w:color="auto" w:sz="4" w:space="0"/>
            </w:tcBorders>
          </w:tcPr>
          <w:p w14:paraId="345D81C2">
            <w:pPr>
              <w:rPr>
                <w:rFonts w:ascii="Times New Roman" w:hAnsi="Times New Roman" w:eastAsia="华文楷体"/>
                <w:b/>
                <w:sz w:val="18"/>
                <w:szCs w:val="18"/>
              </w:rPr>
            </w:pPr>
          </w:p>
        </w:tc>
        <w:tc>
          <w:tcPr>
            <w:tcW w:w="1312" w:type="dxa"/>
            <w:tcBorders>
              <w:top w:val="single" w:color="auto" w:sz="4" w:space="0"/>
              <w:left w:val="single" w:color="auto" w:sz="4" w:space="0"/>
              <w:bottom w:val="single" w:color="auto" w:sz="4" w:space="0"/>
            </w:tcBorders>
          </w:tcPr>
          <w:p w14:paraId="0247B996">
            <w:pPr>
              <w:rPr>
                <w:rFonts w:ascii="Times New Roman" w:hAnsi="Times New Roman" w:eastAsia="华文楷体"/>
                <w:b/>
                <w:sz w:val="18"/>
                <w:szCs w:val="18"/>
              </w:rPr>
            </w:pPr>
          </w:p>
        </w:tc>
      </w:tr>
      <w:tr w14:paraId="158A87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6" w:hRule="atLeast"/>
        </w:trPr>
        <w:tc>
          <w:tcPr>
            <w:tcW w:w="1552" w:type="dxa"/>
            <w:tcBorders>
              <w:top w:val="single" w:color="auto" w:sz="4" w:space="0"/>
              <w:bottom w:val="single" w:color="auto" w:sz="4" w:space="0"/>
              <w:right w:val="single" w:color="auto" w:sz="4" w:space="0"/>
            </w:tcBorders>
          </w:tcPr>
          <w:p w14:paraId="727E8D6F">
            <w:pPr>
              <w:rPr>
                <w:rFonts w:ascii="Times New Roman" w:hAnsi="Times New Roman" w:eastAsia="华文楷体"/>
                <w:b/>
                <w:sz w:val="18"/>
                <w:szCs w:val="18"/>
              </w:rPr>
            </w:pPr>
            <w:r>
              <w:rPr>
                <w:rFonts w:ascii="Times New Roman" w:hAnsi="Times New Roman" w:eastAsia="华文楷体"/>
                <w:sz w:val="18"/>
                <w:szCs w:val="18"/>
              </w:rPr>
              <w:t>优先B级</w:t>
            </w:r>
          </w:p>
        </w:tc>
        <w:tc>
          <w:tcPr>
            <w:tcW w:w="1108" w:type="dxa"/>
            <w:tcBorders>
              <w:top w:val="single" w:color="auto" w:sz="4" w:space="0"/>
              <w:left w:val="single" w:color="auto" w:sz="4" w:space="0"/>
              <w:bottom w:val="single" w:color="auto" w:sz="4" w:space="0"/>
              <w:right w:val="single" w:color="auto" w:sz="4" w:space="0"/>
            </w:tcBorders>
          </w:tcPr>
          <w:p w14:paraId="7C04BE9A">
            <w:pPr>
              <w:rPr>
                <w:rFonts w:ascii="Times New Roman" w:hAnsi="Times New Roman" w:eastAsia="华文楷体"/>
                <w:b/>
                <w:sz w:val="18"/>
                <w:szCs w:val="18"/>
              </w:rPr>
            </w:pPr>
          </w:p>
        </w:tc>
        <w:tc>
          <w:tcPr>
            <w:tcW w:w="1337" w:type="dxa"/>
            <w:tcBorders>
              <w:top w:val="single" w:color="auto" w:sz="4" w:space="0"/>
              <w:left w:val="single" w:color="auto" w:sz="4" w:space="0"/>
              <w:bottom w:val="single" w:color="auto" w:sz="4" w:space="0"/>
              <w:right w:val="single" w:color="auto" w:sz="4" w:space="0"/>
            </w:tcBorders>
          </w:tcPr>
          <w:p w14:paraId="5D110DB5">
            <w:pPr>
              <w:rPr>
                <w:rFonts w:ascii="Times New Roman" w:hAnsi="Times New Roman" w:eastAsia="华文楷体"/>
                <w:b/>
                <w:sz w:val="18"/>
                <w:szCs w:val="18"/>
              </w:rPr>
            </w:pPr>
          </w:p>
        </w:tc>
        <w:tc>
          <w:tcPr>
            <w:tcW w:w="1399" w:type="dxa"/>
            <w:tcBorders>
              <w:top w:val="single" w:color="auto" w:sz="4" w:space="0"/>
              <w:left w:val="single" w:color="auto" w:sz="4" w:space="0"/>
              <w:bottom w:val="single" w:color="auto" w:sz="4" w:space="0"/>
              <w:right w:val="single" w:color="auto" w:sz="4" w:space="0"/>
            </w:tcBorders>
          </w:tcPr>
          <w:p w14:paraId="7247CB04">
            <w:pPr>
              <w:rPr>
                <w:rFonts w:ascii="Times New Roman" w:hAnsi="Times New Roman" w:eastAsia="华文楷体"/>
                <w:b/>
                <w:sz w:val="18"/>
                <w:szCs w:val="18"/>
              </w:rPr>
            </w:pPr>
          </w:p>
        </w:tc>
        <w:tc>
          <w:tcPr>
            <w:tcW w:w="961" w:type="dxa"/>
            <w:tcBorders>
              <w:top w:val="single" w:color="auto" w:sz="4" w:space="0"/>
              <w:left w:val="single" w:color="auto" w:sz="4" w:space="0"/>
              <w:bottom w:val="single" w:color="auto" w:sz="4" w:space="0"/>
              <w:right w:val="single" w:color="auto" w:sz="4" w:space="0"/>
            </w:tcBorders>
          </w:tcPr>
          <w:p w14:paraId="474458BB">
            <w:pPr>
              <w:rPr>
                <w:rFonts w:ascii="Times New Roman" w:hAnsi="Times New Roman" w:eastAsia="华文楷体"/>
                <w:b/>
                <w:sz w:val="18"/>
                <w:szCs w:val="18"/>
              </w:rPr>
            </w:pPr>
          </w:p>
        </w:tc>
        <w:tc>
          <w:tcPr>
            <w:tcW w:w="1048" w:type="dxa"/>
            <w:tcBorders>
              <w:top w:val="single" w:color="auto" w:sz="4" w:space="0"/>
              <w:left w:val="single" w:color="auto" w:sz="4" w:space="0"/>
              <w:bottom w:val="single" w:color="auto" w:sz="4" w:space="0"/>
              <w:right w:val="single" w:color="auto" w:sz="4" w:space="0"/>
            </w:tcBorders>
          </w:tcPr>
          <w:p w14:paraId="240CD693">
            <w:pPr>
              <w:rPr>
                <w:rFonts w:ascii="Times New Roman" w:hAnsi="Times New Roman" w:eastAsia="华文楷体"/>
                <w:b/>
                <w:sz w:val="18"/>
                <w:szCs w:val="18"/>
              </w:rPr>
            </w:pPr>
          </w:p>
        </w:tc>
        <w:tc>
          <w:tcPr>
            <w:tcW w:w="1312" w:type="dxa"/>
            <w:tcBorders>
              <w:top w:val="single" w:color="auto" w:sz="4" w:space="0"/>
              <w:left w:val="single" w:color="auto" w:sz="4" w:space="0"/>
              <w:bottom w:val="single" w:color="auto" w:sz="4" w:space="0"/>
            </w:tcBorders>
          </w:tcPr>
          <w:p w14:paraId="1B909AAC">
            <w:pPr>
              <w:rPr>
                <w:rFonts w:ascii="Times New Roman" w:hAnsi="Times New Roman" w:eastAsia="华文楷体"/>
                <w:b/>
                <w:sz w:val="18"/>
                <w:szCs w:val="18"/>
              </w:rPr>
            </w:pPr>
          </w:p>
        </w:tc>
      </w:tr>
      <w:tr w14:paraId="53796F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6" w:hRule="atLeast"/>
        </w:trPr>
        <w:tc>
          <w:tcPr>
            <w:tcW w:w="1552" w:type="dxa"/>
            <w:tcBorders>
              <w:top w:val="single" w:color="auto" w:sz="4" w:space="0"/>
              <w:bottom w:val="single" w:color="auto" w:sz="4" w:space="0"/>
              <w:right w:val="single" w:color="auto" w:sz="4" w:space="0"/>
            </w:tcBorders>
          </w:tcPr>
          <w:p w14:paraId="7E6D1F38">
            <w:pPr>
              <w:rPr>
                <w:rFonts w:ascii="Times New Roman" w:hAnsi="Times New Roman" w:eastAsia="华文楷体"/>
                <w:b/>
                <w:sz w:val="18"/>
                <w:szCs w:val="18"/>
              </w:rPr>
            </w:pPr>
            <w:r>
              <w:rPr>
                <w:rFonts w:ascii="Times New Roman" w:hAnsi="Times New Roman" w:eastAsia="华文楷体"/>
                <w:sz w:val="18"/>
              </w:rPr>
              <w:t>次级</w:t>
            </w:r>
          </w:p>
        </w:tc>
        <w:tc>
          <w:tcPr>
            <w:tcW w:w="1108" w:type="dxa"/>
            <w:tcBorders>
              <w:top w:val="single" w:color="auto" w:sz="4" w:space="0"/>
              <w:left w:val="single" w:color="auto" w:sz="4" w:space="0"/>
              <w:bottom w:val="single" w:color="auto" w:sz="4" w:space="0"/>
              <w:right w:val="single" w:color="auto" w:sz="4" w:space="0"/>
            </w:tcBorders>
          </w:tcPr>
          <w:p w14:paraId="3B53AB71">
            <w:pPr>
              <w:rPr>
                <w:rFonts w:ascii="Times New Roman" w:hAnsi="Times New Roman" w:eastAsia="华文楷体"/>
                <w:b/>
                <w:sz w:val="18"/>
                <w:szCs w:val="18"/>
              </w:rPr>
            </w:pPr>
          </w:p>
        </w:tc>
        <w:tc>
          <w:tcPr>
            <w:tcW w:w="1337" w:type="dxa"/>
            <w:tcBorders>
              <w:top w:val="single" w:color="auto" w:sz="4" w:space="0"/>
              <w:left w:val="single" w:color="auto" w:sz="4" w:space="0"/>
              <w:bottom w:val="single" w:color="auto" w:sz="4" w:space="0"/>
              <w:right w:val="single" w:color="auto" w:sz="4" w:space="0"/>
            </w:tcBorders>
          </w:tcPr>
          <w:p w14:paraId="13E4F0E2">
            <w:pPr>
              <w:rPr>
                <w:rFonts w:ascii="Times New Roman" w:hAnsi="Times New Roman" w:eastAsia="华文楷体"/>
                <w:b/>
                <w:sz w:val="18"/>
                <w:szCs w:val="18"/>
              </w:rPr>
            </w:pPr>
          </w:p>
        </w:tc>
        <w:tc>
          <w:tcPr>
            <w:tcW w:w="1399" w:type="dxa"/>
            <w:tcBorders>
              <w:top w:val="single" w:color="auto" w:sz="4" w:space="0"/>
              <w:left w:val="single" w:color="auto" w:sz="4" w:space="0"/>
              <w:bottom w:val="single" w:color="auto" w:sz="4" w:space="0"/>
              <w:right w:val="single" w:color="auto" w:sz="4" w:space="0"/>
            </w:tcBorders>
          </w:tcPr>
          <w:p w14:paraId="50F9D7FB">
            <w:pPr>
              <w:rPr>
                <w:rFonts w:ascii="Times New Roman" w:hAnsi="Times New Roman" w:eastAsia="华文楷体"/>
                <w:b/>
                <w:sz w:val="18"/>
                <w:szCs w:val="18"/>
              </w:rPr>
            </w:pPr>
          </w:p>
        </w:tc>
        <w:tc>
          <w:tcPr>
            <w:tcW w:w="961" w:type="dxa"/>
            <w:tcBorders>
              <w:top w:val="single" w:color="auto" w:sz="4" w:space="0"/>
              <w:left w:val="single" w:color="auto" w:sz="4" w:space="0"/>
              <w:bottom w:val="single" w:color="auto" w:sz="4" w:space="0"/>
              <w:right w:val="single" w:color="auto" w:sz="4" w:space="0"/>
            </w:tcBorders>
          </w:tcPr>
          <w:p w14:paraId="1BDF95C6">
            <w:pPr>
              <w:rPr>
                <w:rFonts w:ascii="Times New Roman" w:hAnsi="Times New Roman" w:eastAsia="华文楷体"/>
                <w:b/>
                <w:sz w:val="18"/>
                <w:szCs w:val="18"/>
              </w:rPr>
            </w:pPr>
          </w:p>
        </w:tc>
        <w:tc>
          <w:tcPr>
            <w:tcW w:w="1048" w:type="dxa"/>
            <w:tcBorders>
              <w:top w:val="single" w:color="auto" w:sz="4" w:space="0"/>
              <w:left w:val="single" w:color="auto" w:sz="4" w:space="0"/>
              <w:bottom w:val="single" w:color="auto" w:sz="4" w:space="0"/>
              <w:right w:val="single" w:color="auto" w:sz="4" w:space="0"/>
            </w:tcBorders>
          </w:tcPr>
          <w:p w14:paraId="6B817B62">
            <w:pPr>
              <w:rPr>
                <w:rFonts w:ascii="Times New Roman" w:hAnsi="Times New Roman" w:eastAsia="华文楷体"/>
                <w:b/>
                <w:sz w:val="18"/>
                <w:szCs w:val="18"/>
              </w:rPr>
            </w:pPr>
          </w:p>
        </w:tc>
        <w:tc>
          <w:tcPr>
            <w:tcW w:w="1312" w:type="dxa"/>
            <w:tcBorders>
              <w:top w:val="single" w:color="auto" w:sz="4" w:space="0"/>
              <w:left w:val="single" w:color="auto" w:sz="4" w:space="0"/>
              <w:bottom w:val="single" w:color="auto" w:sz="4" w:space="0"/>
            </w:tcBorders>
          </w:tcPr>
          <w:p w14:paraId="6167501E">
            <w:pPr>
              <w:rPr>
                <w:rFonts w:ascii="Times New Roman" w:hAnsi="Times New Roman" w:eastAsia="华文楷体"/>
                <w:b/>
                <w:sz w:val="18"/>
                <w:szCs w:val="18"/>
              </w:rPr>
            </w:pPr>
          </w:p>
        </w:tc>
      </w:tr>
    </w:tbl>
    <w:p w14:paraId="74C7DFEA">
      <w:pPr>
        <w:rPr>
          <w:rFonts w:ascii="Times New Roman" w:hAnsi="Times New Roman" w:eastAsia="华文楷体"/>
        </w:rPr>
      </w:pPr>
    </w:p>
    <w:p w14:paraId="32E607C6">
      <w:pPr>
        <w:rPr>
          <w:rFonts w:ascii="Times New Roman" w:hAnsi="Times New Roman" w:eastAsia="华文楷体"/>
        </w:rPr>
      </w:pPr>
      <w:r>
        <w:rPr>
          <w:rFonts w:ascii="Times New Roman" w:hAnsi="Times New Roman" w:eastAsia="华文楷体"/>
        </w:rPr>
        <w:t>注：“每百元支付利息”指每张资产支持证券（发行面值为100元）在本计息期内获得利息。</w:t>
      </w:r>
    </w:p>
    <w:p w14:paraId="3DC502D5">
      <w:pPr>
        <w:rPr>
          <w:rFonts w:ascii="Times New Roman" w:hAnsi="Times New Roman" w:eastAsia="华文楷体"/>
        </w:rPr>
        <w:sectPr>
          <w:pgSz w:w="11906" w:h="16838"/>
          <w:pgMar w:top="1440" w:right="1800" w:bottom="1440" w:left="1800" w:header="851" w:footer="992" w:gutter="0"/>
          <w:cols w:space="720" w:num="1"/>
          <w:docGrid w:type="lines" w:linePitch="312" w:charSpace="0"/>
        </w:sectPr>
      </w:pPr>
    </w:p>
    <w:p w14:paraId="4A0A7F4B">
      <w:pPr>
        <w:rPr>
          <w:rFonts w:ascii="Times New Roman" w:hAnsi="Times New Roman" w:eastAsia="华文楷体"/>
        </w:rPr>
      </w:pPr>
    </w:p>
    <w:tbl>
      <w:tblPr>
        <w:tblStyle w:val="30"/>
        <w:tblW w:w="847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35"/>
        <w:gridCol w:w="1559"/>
        <w:gridCol w:w="1276"/>
        <w:gridCol w:w="2126"/>
        <w:gridCol w:w="1276"/>
      </w:tblGrid>
      <w:tr w14:paraId="7A39C7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5"/>
            <w:tcBorders>
              <w:top w:val="single" w:color="auto" w:sz="4" w:space="0"/>
              <w:bottom w:val="single" w:color="auto" w:sz="4" w:space="0"/>
            </w:tcBorders>
          </w:tcPr>
          <w:p w14:paraId="0FC238E4">
            <w:pPr>
              <w:jc w:val="center"/>
              <w:rPr>
                <w:rFonts w:ascii="Times New Roman" w:hAnsi="Times New Roman" w:eastAsia="华文楷体"/>
                <w:b/>
                <w:sz w:val="28"/>
              </w:rPr>
            </w:pPr>
            <w:r>
              <w:rPr>
                <w:rFonts w:ascii="Times New Roman" w:hAnsi="Times New Roman" w:eastAsia="华文楷体"/>
                <w:b/>
                <w:sz w:val="28"/>
              </w:rPr>
              <w:t>【信托名称】</w:t>
            </w:r>
          </w:p>
          <w:p w14:paraId="290D31BC">
            <w:pPr>
              <w:jc w:val="center"/>
              <w:rPr>
                <w:rFonts w:ascii="Times New Roman" w:hAnsi="Times New Roman" w:eastAsia="华文楷体"/>
                <w:b/>
              </w:rPr>
            </w:pPr>
            <w:r>
              <w:rPr>
                <w:rFonts w:ascii="Times New Roman" w:hAnsi="Times New Roman" w:eastAsia="华文楷体"/>
                <w:b/>
                <w:sz w:val="28"/>
              </w:rPr>
              <w:t>受托机构月度/年度报告</w:t>
            </w:r>
          </w:p>
        </w:tc>
      </w:tr>
      <w:tr w14:paraId="16F71E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5"/>
            <w:tcBorders>
              <w:top w:val="single" w:color="auto" w:sz="4" w:space="0"/>
              <w:bottom w:val="nil"/>
            </w:tcBorders>
          </w:tcPr>
          <w:p w14:paraId="15B68ACA">
            <w:pPr>
              <w:rPr>
                <w:rFonts w:ascii="Times New Roman" w:hAnsi="Times New Roman" w:eastAsia="华文楷体"/>
                <w:b/>
              </w:rPr>
            </w:pPr>
            <w:r>
              <w:rPr>
                <w:rFonts w:ascii="Times New Roman" w:hAnsi="Times New Roman" w:eastAsia="华文楷体"/>
                <w:b/>
              </w:rPr>
              <w:t>三、资产池情况</w:t>
            </w:r>
          </w:p>
        </w:tc>
      </w:tr>
      <w:tr w14:paraId="091E9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5"/>
            <w:tcBorders>
              <w:top w:val="nil"/>
              <w:bottom w:val="single" w:color="auto" w:sz="4" w:space="0"/>
            </w:tcBorders>
          </w:tcPr>
          <w:p w14:paraId="2163B4DF">
            <w:pPr>
              <w:rPr>
                <w:rFonts w:ascii="Times New Roman" w:hAnsi="Times New Roman" w:eastAsia="华文楷体"/>
                <w:b/>
              </w:rPr>
            </w:pPr>
            <w:r>
              <w:rPr>
                <w:rFonts w:ascii="Times New Roman" w:hAnsi="Times New Roman" w:eastAsia="华文楷体"/>
              </w:rPr>
              <w:t>（一）资产池整体表现情况：</w:t>
            </w:r>
          </w:p>
        </w:tc>
      </w:tr>
      <w:tr w14:paraId="4EC346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5" w:type="dxa"/>
            <w:tcBorders>
              <w:top w:val="single" w:color="auto" w:sz="4" w:space="0"/>
              <w:bottom w:val="single" w:color="auto" w:sz="4" w:space="0"/>
              <w:right w:val="single" w:color="auto" w:sz="4" w:space="0"/>
            </w:tcBorders>
          </w:tcPr>
          <w:p w14:paraId="74D0EC70">
            <w:pPr>
              <w:rPr>
                <w:rFonts w:ascii="Times New Roman" w:hAnsi="Times New Roman" w:eastAsia="华文楷体"/>
                <w:b/>
              </w:rPr>
            </w:pPr>
            <w:r>
              <w:rPr>
                <w:rFonts w:ascii="Times New Roman" w:hAnsi="Times New Roman" w:eastAsia="楷体_GB2312"/>
                <w:b/>
                <w:sz w:val="24"/>
              </w:rPr>
              <w:t>贷款状态</w:t>
            </w:r>
          </w:p>
        </w:tc>
        <w:tc>
          <w:tcPr>
            <w:tcW w:w="1559" w:type="dxa"/>
            <w:tcBorders>
              <w:top w:val="single" w:color="auto" w:sz="4" w:space="0"/>
              <w:left w:val="single" w:color="auto" w:sz="4" w:space="0"/>
              <w:bottom w:val="single" w:color="auto" w:sz="4" w:space="0"/>
              <w:right w:val="single" w:color="auto" w:sz="4" w:space="0"/>
            </w:tcBorders>
          </w:tcPr>
          <w:p w14:paraId="0E0B7F80">
            <w:pPr>
              <w:jc w:val="center"/>
              <w:rPr>
                <w:rFonts w:ascii="Times New Roman" w:hAnsi="Times New Roman" w:eastAsia="华文楷体"/>
                <w:b/>
                <w:sz w:val="18"/>
                <w:szCs w:val="18"/>
              </w:rPr>
            </w:pPr>
            <w:r>
              <w:rPr>
                <w:rFonts w:ascii="Times New Roman" w:hAnsi="Times New Roman" w:eastAsia="华文楷体"/>
                <w:b/>
                <w:sz w:val="18"/>
                <w:szCs w:val="18"/>
              </w:rPr>
              <w:t>期末贷款笔数</w:t>
            </w:r>
          </w:p>
        </w:tc>
        <w:tc>
          <w:tcPr>
            <w:tcW w:w="1276" w:type="dxa"/>
            <w:tcBorders>
              <w:top w:val="single" w:color="auto" w:sz="4" w:space="0"/>
              <w:left w:val="single" w:color="auto" w:sz="4" w:space="0"/>
              <w:bottom w:val="single" w:color="auto" w:sz="4" w:space="0"/>
              <w:right w:val="single" w:color="auto" w:sz="4" w:space="0"/>
            </w:tcBorders>
          </w:tcPr>
          <w:p w14:paraId="6A26F9E2">
            <w:pPr>
              <w:jc w:val="center"/>
              <w:rPr>
                <w:rFonts w:ascii="Times New Roman" w:hAnsi="Times New Roman" w:eastAsia="华文楷体"/>
                <w:b/>
                <w:sz w:val="18"/>
                <w:szCs w:val="18"/>
              </w:rPr>
            </w:pPr>
            <w:r>
              <w:rPr>
                <w:rFonts w:ascii="Times New Roman" w:hAnsi="Times New Roman" w:eastAsia="华文楷体"/>
                <w:b/>
                <w:sz w:val="18"/>
                <w:szCs w:val="18"/>
              </w:rPr>
              <w:t>占期末资产池贷款笔数百分比</w:t>
            </w:r>
          </w:p>
        </w:tc>
        <w:tc>
          <w:tcPr>
            <w:tcW w:w="2126" w:type="dxa"/>
            <w:tcBorders>
              <w:top w:val="single" w:color="auto" w:sz="4" w:space="0"/>
              <w:left w:val="single" w:color="auto" w:sz="4" w:space="0"/>
              <w:bottom w:val="single" w:color="auto" w:sz="4" w:space="0"/>
              <w:right w:val="single" w:color="auto" w:sz="4" w:space="0"/>
            </w:tcBorders>
          </w:tcPr>
          <w:p w14:paraId="744D4FA1">
            <w:pPr>
              <w:jc w:val="center"/>
              <w:rPr>
                <w:rFonts w:ascii="Times New Roman" w:hAnsi="Times New Roman" w:eastAsia="华文楷体"/>
                <w:b/>
                <w:sz w:val="18"/>
                <w:szCs w:val="18"/>
              </w:rPr>
            </w:pPr>
            <w:r>
              <w:rPr>
                <w:rFonts w:ascii="Times New Roman" w:hAnsi="Times New Roman" w:eastAsia="华文楷体"/>
                <w:b/>
                <w:sz w:val="18"/>
                <w:szCs w:val="18"/>
              </w:rPr>
              <w:t>期末本金余额</w:t>
            </w:r>
          </w:p>
        </w:tc>
        <w:tc>
          <w:tcPr>
            <w:tcW w:w="1276" w:type="dxa"/>
            <w:tcBorders>
              <w:top w:val="single" w:color="auto" w:sz="4" w:space="0"/>
              <w:left w:val="single" w:color="auto" w:sz="4" w:space="0"/>
              <w:bottom w:val="single" w:color="auto" w:sz="4" w:space="0"/>
            </w:tcBorders>
          </w:tcPr>
          <w:p w14:paraId="54F4CF58">
            <w:pPr>
              <w:jc w:val="center"/>
              <w:rPr>
                <w:rFonts w:ascii="Times New Roman" w:hAnsi="Times New Roman" w:eastAsia="华文楷体"/>
                <w:b/>
                <w:sz w:val="18"/>
                <w:szCs w:val="18"/>
              </w:rPr>
            </w:pPr>
            <w:r>
              <w:rPr>
                <w:rFonts w:ascii="Times New Roman" w:hAnsi="Times New Roman" w:eastAsia="华文楷体"/>
                <w:b/>
                <w:sz w:val="18"/>
                <w:szCs w:val="18"/>
              </w:rPr>
              <w:t>占期末资产池余额百分比</w:t>
            </w:r>
          </w:p>
        </w:tc>
      </w:tr>
      <w:tr w14:paraId="0A60BC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5" w:type="dxa"/>
            <w:tcBorders>
              <w:top w:val="single" w:color="auto" w:sz="4" w:space="0"/>
              <w:bottom w:val="single" w:color="auto" w:sz="4" w:space="0"/>
              <w:right w:val="single" w:color="auto" w:sz="4" w:space="0"/>
            </w:tcBorders>
          </w:tcPr>
          <w:p w14:paraId="3476520F">
            <w:pPr>
              <w:rPr>
                <w:rFonts w:ascii="Times New Roman" w:hAnsi="Times New Roman" w:eastAsia="华文楷体"/>
                <w:sz w:val="18"/>
              </w:rPr>
            </w:pPr>
            <w:r>
              <w:rPr>
                <w:rFonts w:ascii="Times New Roman" w:hAnsi="Times New Roman" w:eastAsia="华文楷体"/>
                <w:sz w:val="18"/>
              </w:rPr>
              <w:t>正常</w:t>
            </w:r>
          </w:p>
        </w:tc>
        <w:tc>
          <w:tcPr>
            <w:tcW w:w="1559" w:type="dxa"/>
            <w:tcBorders>
              <w:top w:val="single" w:color="auto" w:sz="4" w:space="0"/>
              <w:left w:val="single" w:color="auto" w:sz="4" w:space="0"/>
              <w:bottom w:val="single" w:color="auto" w:sz="4" w:space="0"/>
              <w:right w:val="single" w:color="auto" w:sz="4" w:space="0"/>
            </w:tcBorders>
          </w:tcPr>
          <w:p w14:paraId="3A36E430">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right w:val="single" w:color="auto" w:sz="4" w:space="0"/>
            </w:tcBorders>
          </w:tcPr>
          <w:p w14:paraId="66DCDE00">
            <w:pPr>
              <w:jc w:val="center"/>
              <w:rPr>
                <w:rFonts w:ascii="Times New Roman" w:hAnsi="Times New Roman" w:eastAsia="华文楷体"/>
              </w:rPr>
            </w:pPr>
          </w:p>
        </w:tc>
        <w:tc>
          <w:tcPr>
            <w:tcW w:w="2126" w:type="dxa"/>
            <w:tcBorders>
              <w:top w:val="single" w:color="auto" w:sz="4" w:space="0"/>
              <w:left w:val="single" w:color="auto" w:sz="4" w:space="0"/>
              <w:bottom w:val="single" w:color="auto" w:sz="4" w:space="0"/>
              <w:right w:val="single" w:color="auto" w:sz="4" w:space="0"/>
            </w:tcBorders>
          </w:tcPr>
          <w:p w14:paraId="423D9AAA">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tcBorders>
          </w:tcPr>
          <w:p w14:paraId="50633E7A">
            <w:pPr>
              <w:jc w:val="center"/>
              <w:rPr>
                <w:rFonts w:ascii="Times New Roman" w:hAnsi="Times New Roman" w:eastAsia="华文楷体"/>
              </w:rPr>
            </w:pPr>
          </w:p>
        </w:tc>
      </w:tr>
      <w:tr w14:paraId="073DEE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5" w:type="dxa"/>
            <w:tcBorders>
              <w:top w:val="single" w:color="auto" w:sz="4" w:space="0"/>
              <w:bottom w:val="single" w:color="auto" w:sz="4" w:space="0"/>
              <w:right w:val="single" w:color="auto" w:sz="4" w:space="0"/>
            </w:tcBorders>
          </w:tcPr>
          <w:p w14:paraId="3C2DDB64">
            <w:pPr>
              <w:rPr>
                <w:rFonts w:ascii="Times New Roman" w:hAnsi="Times New Roman" w:eastAsia="华文楷体"/>
                <w:sz w:val="18"/>
              </w:rPr>
            </w:pPr>
            <w:r>
              <w:rPr>
                <w:rFonts w:ascii="Times New Roman" w:hAnsi="Times New Roman" w:eastAsia="华文楷体"/>
                <w:sz w:val="18"/>
              </w:rPr>
              <w:t>逾期1至30天</w:t>
            </w:r>
          </w:p>
        </w:tc>
        <w:tc>
          <w:tcPr>
            <w:tcW w:w="1559" w:type="dxa"/>
            <w:tcBorders>
              <w:top w:val="single" w:color="auto" w:sz="4" w:space="0"/>
              <w:left w:val="single" w:color="auto" w:sz="4" w:space="0"/>
              <w:bottom w:val="single" w:color="auto" w:sz="4" w:space="0"/>
              <w:right w:val="single" w:color="auto" w:sz="4" w:space="0"/>
            </w:tcBorders>
          </w:tcPr>
          <w:p w14:paraId="46465C53">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right w:val="single" w:color="auto" w:sz="4" w:space="0"/>
            </w:tcBorders>
          </w:tcPr>
          <w:p w14:paraId="1450C38E">
            <w:pPr>
              <w:jc w:val="center"/>
              <w:rPr>
                <w:rFonts w:ascii="Times New Roman" w:hAnsi="Times New Roman" w:eastAsia="华文楷体"/>
              </w:rPr>
            </w:pPr>
          </w:p>
        </w:tc>
        <w:tc>
          <w:tcPr>
            <w:tcW w:w="2126" w:type="dxa"/>
            <w:tcBorders>
              <w:top w:val="single" w:color="auto" w:sz="4" w:space="0"/>
              <w:left w:val="single" w:color="auto" w:sz="4" w:space="0"/>
              <w:bottom w:val="single" w:color="auto" w:sz="4" w:space="0"/>
              <w:right w:val="single" w:color="auto" w:sz="4" w:space="0"/>
            </w:tcBorders>
          </w:tcPr>
          <w:p w14:paraId="796AEB89">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tcBorders>
          </w:tcPr>
          <w:p w14:paraId="15DAD584">
            <w:pPr>
              <w:jc w:val="center"/>
              <w:rPr>
                <w:rFonts w:ascii="Times New Roman" w:hAnsi="Times New Roman" w:eastAsia="华文楷体"/>
              </w:rPr>
            </w:pPr>
          </w:p>
        </w:tc>
      </w:tr>
      <w:tr w14:paraId="37DD64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5" w:type="dxa"/>
            <w:tcBorders>
              <w:top w:val="single" w:color="auto" w:sz="4" w:space="0"/>
              <w:bottom w:val="single" w:color="auto" w:sz="4" w:space="0"/>
              <w:right w:val="single" w:color="auto" w:sz="4" w:space="0"/>
            </w:tcBorders>
          </w:tcPr>
          <w:p w14:paraId="6DF01A98">
            <w:pPr>
              <w:rPr>
                <w:rFonts w:ascii="Times New Roman" w:hAnsi="Times New Roman" w:eastAsia="华文楷体"/>
                <w:sz w:val="18"/>
              </w:rPr>
            </w:pPr>
            <w:r>
              <w:rPr>
                <w:rFonts w:ascii="Times New Roman" w:hAnsi="Times New Roman" w:eastAsia="华文楷体"/>
                <w:sz w:val="18"/>
              </w:rPr>
              <w:t>逾期31至60天</w:t>
            </w:r>
          </w:p>
        </w:tc>
        <w:tc>
          <w:tcPr>
            <w:tcW w:w="1559" w:type="dxa"/>
            <w:tcBorders>
              <w:top w:val="single" w:color="auto" w:sz="4" w:space="0"/>
              <w:left w:val="single" w:color="auto" w:sz="4" w:space="0"/>
              <w:bottom w:val="single" w:color="auto" w:sz="4" w:space="0"/>
              <w:right w:val="single" w:color="auto" w:sz="4" w:space="0"/>
            </w:tcBorders>
          </w:tcPr>
          <w:p w14:paraId="2F391B00">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right w:val="single" w:color="auto" w:sz="4" w:space="0"/>
            </w:tcBorders>
          </w:tcPr>
          <w:p w14:paraId="3CCDAA7D">
            <w:pPr>
              <w:jc w:val="center"/>
              <w:rPr>
                <w:rFonts w:ascii="Times New Roman" w:hAnsi="Times New Roman" w:eastAsia="华文楷体"/>
              </w:rPr>
            </w:pPr>
          </w:p>
        </w:tc>
        <w:tc>
          <w:tcPr>
            <w:tcW w:w="2126" w:type="dxa"/>
            <w:tcBorders>
              <w:top w:val="single" w:color="auto" w:sz="4" w:space="0"/>
              <w:left w:val="single" w:color="auto" w:sz="4" w:space="0"/>
              <w:bottom w:val="single" w:color="auto" w:sz="4" w:space="0"/>
              <w:right w:val="single" w:color="auto" w:sz="4" w:space="0"/>
            </w:tcBorders>
          </w:tcPr>
          <w:p w14:paraId="39124EEF">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tcBorders>
          </w:tcPr>
          <w:p w14:paraId="0E6AF248">
            <w:pPr>
              <w:jc w:val="center"/>
              <w:rPr>
                <w:rFonts w:ascii="Times New Roman" w:hAnsi="Times New Roman" w:eastAsia="华文楷体"/>
              </w:rPr>
            </w:pPr>
          </w:p>
        </w:tc>
      </w:tr>
      <w:tr w14:paraId="512A00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5" w:type="dxa"/>
            <w:tcBorders>
              <w:top w:val="single" w:color="auto" w:sz="4" w:space="0"/>
              <w:bottom w:val="single" w:color="auto" w:sz="4" w:space="0"/>
              <w:right w:val="single" w:color="auto" w:sz="4" w:space="0"/>
            </w:tcBorders>
          </w:tcPr>
          <w:p w14:paraId="435C2958">
            <w:pPr>
              <w:rPr>
                <w:rFonts w:ascii="Times New Roman" w:hAnsi="Times New Roman" w:eastAsia="华文楷体"/>
                <w:sz w:val="18"/>
              </w:rPr>
            </w:pPr>
            <w:r>
              <w:rPr>
                <w:rFonts w:ascii="Times New Roman" w:hAnsi="Times New Roman" w:eastAsia="华文楷体"/>
                <w:sz w:val="18"/>
              </w:rPr>
              <w:t>逾期61至90天</w:t>
            </w:r>
          </w:p>
        </w:tc>
        <w:tc>
          <w:tcPr>
            <w:tcW w:w="1559" w:type="dxa"/>
            <w:tcBorders>
              <w:top w:val="single" w:color="auto" w:sz="4" w:space="0"/>
              <w:left w:val="single" w:color="auto" w:sz="4" w:space="0"/>
              <w:bottom w:val="single" w:color="auto" w:sz="4" w:space="0"/>
              <w:right w:val="single" w:color="auto" w:sz="4" w:space="0"/>
            </w:tcBorders>
          </w:tcPr>
          <w:p w14:paraId="41AAE7FD">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right w:val="single" w:color="auto" w:sz="4" w:space="0"/>
            </w:tcBorders>
          </w:tcPr>
          <w:p w14:paraId="5492B8A4">
            <w:pPr>
              <w:jc w:val="center"/>
              <w:rPr>
                <w:rFonts w:ascii="Times New Roman" w:hAnsi="Times New Roman" w:eastAsia="华文楷体"/>
              </w:rPr>
            </w:pPr>
          </w:p>
        </w:tc>
        <w:tc>
          <w:tcPr>
            <w:tcW w:w="2126" w:type="dxa"/>
            <w:tcBorders>
              <w:top w:val="single" w:color="auto" w:sz="4" w:space="0"/>
              <w:left w:val="single" w:color="auto" w:sz="4" w:space="0"/>
              <w:bottom w:val="single" w:color="auto" w:sz="4" w:space="0"/>
              <w:right w:val="single" w:color="auto" w:sz="4" w:space="0"/>
            </w:tcBorders>
          </w:tcPr>
          <w:p w14:paraId="1BC23C5A">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tcBorders>
          </w:tcPr>
          <w:p w14:paraId="05921B32">
            <w:pPr>
              <w:jc w:val="center"/>
              <w:rPr>
                <w:rFonts w:ascii="Times New Roman" w:hAnsi="Times New Roman" w:eastAsia="华文楷体"/>
              </w:rPr>
            </w:pPr>
          </w:p>
        </w:tc>
      </w:tr>
      <w:tr w14:paraId="611517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5" w:type="dxa"/>
            <w:tcBorders>
              <w:top w:val="single" w:color="auto" w:sz="4" w:space="0"/>
              <w:bottom w:val="single" w:color="auto" w:sz="4" w:space="0"/>
              <w:right w:val="single" w:color="auto" w:sz="4" w:space="0"/>
            </w:tcBorders>
          </w:tcPr>
          <w:p w14:paraId="53534628">
            <w:pPr>
              <w:rPr>
                <w:rFonts w:ascii="Times New Roman" w:hAnsi="Times New Roman" w:eastAsia="华文楷体"/>
                <w:sz w:val="18"/>
              </w:rPr>
            </w:pPr>
            <w:r>
              <w:rPr>
                <w:rFonts w:ascii="Times New Roman" w:hAnsi="Times New Roman" w:eastAsia="华文楷体"/>
                <w:sz w:val="18"/>
              </w:rPr>
              <w:t>违约贷款（逾期90天以上）</w:t>
            </w:r>
          </w:p>
        </w:tc>
        <w:tc>
          <w:tcPr>
            <w:tcW w:w="1559" w:type="dxa"/>
            <w:tcBorders>
              <w:top w:val="single" w:color="auto" w:sz="4" w:space="0"/>
              <w:left w:val="single" w:color="auto" w:sz="4" w:space="0"/>
              <w:bottom w:val="single" w:color="auto" w:sz="4" w:space="0"/>
              <w:right w:val="single" w:color="auto" w:sz="4" w:space="0"/>
            </w:tcBorders>
          </w:tcPr>
          <w:p w14:paraId="3CB73C68">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right w:val="single" w:color="auto" w:sz="4" w:space="0"/>
            </w:tcBorders>
          </w:tcPr>
          <w:p w14:paraId="5C952D62">
            <w:pPr>
              <w:jc w:val="center"/>
              <w:rPr>
                <w:rFonts w:ascii="Times New Roman" w:hAnsi="Times New Roman" w:eastAsia="华文楷体"/>
              </w:rPr>
            </w:pPr>
          </w:p>
        </w:tc>
        <w:tc>
          <w:tcPr>
            <w:tcW w:w="2126" w:type="dxa"/>
            <w:tcBorders>
              <w:top w:val="single" w:color="auto" w:sz="4" w:space="0"/>
              <w:left w:val="single" w:color="auto" w:sz="4" w:space="0"/>
              <w:bottom w:val="single" w:color="auto" w:sz="4" w:space="0"/>
              <w:right w:val="single" w:color="auto" w:sz="4" w:space="0"/>
            </w:tcBorders>
          </w:tcPr>
          <w:p w14:paraId="61FAED01">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tcBorders>
          </w:tcPr>
          <w:p w14:paraId="7263287C">
            <w:pPr>
              <w:jc w:val="center"/>
              <w:rPr>
                <w:rFonts w:ascii="Times New Roman" w:hAnsi="Times New Roman" w:eastAsia="华文楷体"/>
              </w:rPr>
            </w:pPr>
          </w:p>
        </w:tc>
      </w:tr>
      <w:tr w14:paraId="0837E6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5" w:type="dxa"/>
            <w:tcBorders>
              <w:top w:val="single" w:color="auto" w:sz="4" w:space="0"/>
              <w:bottom w:val="single" w:color="auto" w:sz="4" w:space="0"/>
              <w:right w:val="single" w:color="auto" w:sz="4" w:space="0"/>
            </w:tcBorders>
          </w:tcPr>
          <w:p w14:paraId="01271C8D">
            <w:pPr>
              <w:rPr>
                <w:rFonts w:ascii="Times New Roman" w:hAnsi="Times New Roman" w:eastAsia="华文楷体"/>
                <w:sz w:val="18"/>
              </w:rPr>
            </w:pPr>
            <w:r>
              <w:rPr>
                <w:rFonts w:ascii="Times New Roman" w:hAnsi="Times New Roman" w:eastAsia="华文楷体"/>
                <w:sz w:val="18"/>
              </w:rPr>
              <w:t>回购或置换贷款</w:t>
            </w:r>
          </w:p>
        </w:tc>
        <w:tc>
          <w:tcPr>
            <w:tcW w:w="1559" w:type="dxa"/>
            <w:tcBorders>
              <w:top w:val="single" w:color="auto" w:sz="4" w:space="0"/>
              <w:left w:val="single" w:color="auto" w:sz="4" w:space="0"/>
              <w:bottom w:val="single" w:color="auto" w:sz="4" w:space="0"/>
              <w:right w:val="single" w:color="auto" w:sz="4" w:space="0"/>
            </w:tcBorders>
          </w:tcPr>
          <w:p w14:paraId="547F02B8">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right w:val="single" w:color="auto" w:sz="4" w:space="0"/>
            </w:tcBorders>
          </w:tcPr>
          <w:p w14:paraId="27984136">
            <w:pPr>
              <w:jc w:val="center"/>
              <w:rPr>
                <w:rFonts w:ascii="Times New Roman" w:hAnsi="Times New Roman" w:eastAsia="华文楷体"/>
              </w:rPr>
            </w:pPr>
          </w:p>
        </w:tc>
        <w:tc>
          <w:tcPr>
            <w:tcW w:w="2126" w:type="dxa"/>
            <w:tcBorders>
              <w:top w:val="single" w:color="auto" w:sz="4" w:space="0"/>
              <w:left w:val="single" w:color="auto" w:sz="4" w:space="0"/>
              <w:bottom w:val="single" w:color="auto" w:sz="4" w:space="0"/>
              <w:right w:val="single" w:color="auto" w:sz="4" w:space="0"/>
            </w:tcBorders>
          </w:tcPr>
          <w:p w14:paraId="170A76EE">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tcBorders>
          </w:tcPr>
          <w:p w14:paraId="078158CA">
            <w:pPr>
              <w:jc w:val="center"/>
              <w:rPr>
                <w:rFonts w:ascii="Times New Roman" w:hAnsi="Times New Roman" w:eastAsia="华文楷体"/>
              </w:rPr>
            </w:pPr>
          </w:p>
        </w:tc>
      </w:tr>
      <w:tr w14:paraId="239C37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5" w:type="dxa"/>
            <w:tcBorders>
              <w:top w:val="single" w:color="auto" w:sz="4" w:space="0"/>
              <w:bottom w:val="single" w:color="auto" w:sz="4" w:space="0"/>
              <w:right w:val="single" w:color="auto" w:sz="4" w:space="0"/>
            </w:tcBorders>
          </w:tcPr>
          <w:p w14:paraId="63820C37">
            <w:pPr>
              <w:rPr>
                <w:rFonts w:ascii="Times New Roman" w:hAnsi="Times New Roman" w:eastAsia="楷体_GB2312"/>
              </w:rPr>
            </w:pPr>
            <w:r>
              <w:rPr>
                <w:rFonts w:ascii="Times New Roman" w:hAnsi="Times New Roman" w:eastAsia="楷体_GB2312"/>
                <w:b/>
              </w:rPr>
              <w:t>合计</w:t>
            </w:r>
          </w:p>
        </w:tc>
        <w:tc>
          <w:tcPr>
            <w:tcW w:w="1559" w:type="dxa"/>
            <w:tcBorders>
              <w:top w:val="single" w:color="auto" w:sz="4" w:space="0"/>
              <w:left w:val="single" w:color="auto" w:sz="4" w:space="0"/>
              <w:bottom w:val="single" w:color="auto" w:sz="4" w:space="0"/>
              <w:right w:val="single" w:color="auto" w:sz="4" w:space="0"/>
            </w:tcBorders>
          </w:tcPr>
          <w:p w14:paraId="0F1B855B">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right w:val="single" w:color="auto" w:sz="4" w:space="0"/>
            </w:tcBorders>
          </w:tcPr>
          <w:p w14:paraId="2DD7B2B3">
            <w:pPr>
              <w:jc w:val="center"/>
              <w:rPr>
                <w:rFonts w:ascii="Times New Roman" w:hAnsi="Times New Roman" w:eastAsia="华文楷体"/>
              </w:rPr>
            </w:pPr>
          </w:p>
        </w:tc>
        <w:tc>
          <w:tcPr>
            <w:tcW w:w="2126" w:type="dxa"/>
            <w:tcBorders>
              <w:top w:val="single" w:color="auto" w:sz="4" w:space="0"/>
              <w:left w:val="single" w:color="auto" w:sz="4" w:space="0"/>
              <w:bottom w:val="single" w:color="auto" w:sz="4" w:space="0"/>
              <w:right w:val="single" w:color="auto" w:sz="4" w:space="0"/>
            </w:tcBorders>
          </w:tcPr>
          <w:p w14:paraId="46EF512C">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tcBorders>
          </w:tcPr>
          <w:p w14:paraId="6609DE26">
            <w:pPr>
              <w:jc w:val="center"/>
              <w:rPr>
                <w:rFonts w:ascii="Times New Roman" w:hAnsi="Times New Roman" w:eastAsia="华文楷体"/>
              </w:rPr>
            </w:pPr>
          </w:p>
        </w:tc>
      </w:tr>
      <w:tr w14:paraId="78AD9B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8472" w:type="dxa"/>
            <w:gridSpan w:val="5"/>
            <w:tcBorders>
              <w:top w:val="single" w:color="auto" w:sz="4" w:space="0"/>
              <w:bottom w:val="single" w:color="auto" w:sz="4" w:space="0"/>
            </w:tcBorders>
          </w:tcPr>
          <w:p w14:paraId="3B098E87">
            <w:pPr>
              <w:jc w:val="left"/>
              <w:rPr>
                <w:rFonts w:ascii="Times New Roman" w:hAnsi="Times New Roman" w:eastAsia="华文楷体"/>
              </w:rPr>
            </w:pPr>
            <w:r>
              <w:rPr>
                <w:rFonts w:ascii="Times New Roman" w:hAnsi="Times New Roman" w:eastAsia="华文楷体"/>
              </w:rPr>
              <w:t>（二）本期新增违约贷款情况</w:t>
            </w:r>
          </w:p>
        </w:tc>
      </w:tr>
      <w:tr w14:paraId="320251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5" w:type="dxa"/>
            <w:vMerge w:val="restart"/>
            <w:tcBorders>
              <w:top w:val="single" w:color="auto" w:sz="4" w:space="0"/>
              <w:right w:val="single" w:color="auto" w:sz="4" w:space="0"/>
            </w:tcBorders>
          </w:tcPr>
          <w:p w14:paraId="37428BA4">
            <w:pPr>
              <w:rPr>
                <w:rFonts w:ascii="Times New Roman" w:hAnsi="Times New Roman" w:eastAsia="华文楷体"/>
                <w:sz w:val="18"/>
              </w:rPr>
            </w:pPr>
          </w:p>
        </w:tc>
        <w:tc>
          <w:tcPr>
            <w:tcW w:w="2835" w:type="dxa"/>
            <w:gridSpan w:val="2"/>
            <w:tcBorders>
              <w:top w:val="single" w:color="auto" w:sz="4" w:space="0"/>
              <w:left w:val="single" w:color="auto" w:sz="4" w:space="0"/>
              <w:bottom w:val="single" w:color="auto" w:sz="4" w:space="0"/>
              <w:right w:val="single" w:color="auto" w:sz="4" w:space="0"/>
            </w:tcBorders>
          </w:tcPr>
          <w:p w14:paraId="0EF3D857">
            <w:pPr>
              <w:jc w:val="center"/>
              <w:rPr>
                <w:rFonts w:ascii="Times New Roman" w:hAnsi="Times New Roman" w:eastAsia="华文楷体"/>
                <w:b/>
                <w:sz w:val="18"/>
                <w:szCs w:val="18"/>
              </w:rPr>
            </w:pPr>
            <w:r>
              <w:rPr>
                <w:rFonts w:ascii="Times New Roman" w:hAnsi="Times New Roman" w:eastAsia="华文楷体"/>
                <w:b/>
                <w:sz w:val="18"/>
                <w:szCs w:val="18"/>
              </w:rPr>
              <w:t>本期</w:t>
            </w:r>
          </w:p>
        </w:tc>
        <w:tc>
          <w:tcPr>
            <w:tcW w:w="3402" w:type="dxa"/>
            <w:gridSpan w:val="2"/>
            <w:tcBorders>
              <w:top w:val="single" w:color="auto" w:sz="4" w:space="0"/>
              <w:left w:val="single" w:color="auto" w:sz="4" w:space="0"/>
              <w:bottom w:val="single" w:color="auto" w:sz="4" w:space="0"/>
            </w:tcBorders>
          </w:tcPr>
          <w:p w14:paraId="3BBF3934">
            <w:pPr>
              <w:jc w:val="center"/>
              <w:rPr>
                <w:rFonts w:ascii="Times New Roman" w:hAnsi="Times New Roman" w:eastAsia="华文楷体"/>
                <w:b/>
                <w:sz w:val="18"/>
                <w:szCs w:val="18"/>
              </w:rPr>
            </w:pPr>
            <w:r>
              <w:rPr>
                <w:rFonts w:ascii="Times New Roman" w:hAnsi="Times New Roman" w:eastAsia="华文楷体"/>
                <w:b/>
                <w:sz w:val="18"/>
                <w:szCs w:val="18"/>
              </w:rPr>
              <w:t>上一期</w:t>
            </w:r>
          </w:p>
        </w:tc>
      </w:tr>
      <w:tr w14:paraId="49DF29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5" w:type="dxa"/>
            <w:vMerge w:val="continue"/>
            <w:tcBorders>
              <w:bottom w:val="single" w:color="auto" w:sz="4" w:space="0"/>
              <w:right w:val="single" w:color="auto" w:sz="4" w:space="0"/>
            </w:tcBorders>
          </w:tcPr>
          <w:p w14:paraId="1DF17B5A">
            <w:pPr>
              <w:rPr>
                <w:rFonts w:ascii="Times New Roman" w:hAnsi="Times New Roman" w:eastAsia="华文楷体"/>
                <w:sz w:val="18"/>
              </w:rPr>
            </w:pPr>
          </w:p>
        </w:tc>
        <w:tc>
          <w:tcPr>
            <w:tcW w:w="1559" w:type="dxa"/>
            <w:tcBorders>
              <w:top w:val="single" w:color="auto" w:sz="4" w:space="0"/>
              <w:left w:val="single" w:color="auto" w:sz="4" w:space="0"/>
              <w:bottom w:val="single" w:color="auto" w:sz="4" w:space="0"/>
              <w:right w:val="single" w:color="auto" w:sz="4" w:space="0"/>
            </w:tcBorders>
          </w:tcPr>
          <w:p w14:paraId="5415E829">
            <w:pPr>
              <w:jc w:val="center"/>
              <w:rPr>
                <w:rFonts w:ascii="Times New Roman" w:hAnsi="Times New Roman" w:eastAsia="华文楷体"/>
                <w:b/>
                <w:sz w:val="18"/>
                <w:szCs w:val="18"/>
              </w:rPr>
            </w:pPr>
            <w:r>
              <w:rPr>
                <w:rFonts w:ascii="Times New Roman" w:hAnsi="Times New Roman" w:eastAsia="华文楷体"/>
                <w:b/>
                <w:sz w:val="18"/>
                <w:szCs w:val="18"/>
              </w:rPr>
              <w:t>贷款笔数</w:t>
            </w:r>
          </w:p>
        </w:tc>
        <w:tc>
          <w:tcPr>
            <w:tcW w:w="1276" w:type="dxa"/>
            <w:tcBorders>
              <w:top w:val="single" w:color="auto" w:sz="4" w:space="0"/>
              <w:left w:val="single" w:color="auto" w:sz="4" w:space="0"/>
              <w:bottom w:val="single" w:color="auto" w:sz="4" w:space="0"/>
              <w:right w:val="single" w:color="auto" w:sz="4" w:space="0"/>
            </w:tcBorders>
          </w:tcPr>
          <w:p w14:paraId="67785D23">
            <w:pPr>
              <w:jc w:val="center"/>
              <w:rPr>
                <w:rFonts w:ascii="Times New Roman" w:hAnsi="Times New Roman" w:eastAsia="华文楷体"/>
                <w:b/>
                <w:sz w:val="18"/>
                <w:szCs w:val="18"/>
              </w:rPr>
            </w:pPr>
            <w:r>
              <w:rPr>
                <w:rFonts w:ascii="Times New Roman" w:hAnsi="Times New Roman" w:eastAsia="华文楷体"/>
                <w:b/>
                <w:sz w:val="18"/>
                <w:szCs w:val="18"/>
              </w:rPr>
              <w:t>金额</w:t>
            </w:r>
          </w:p>
        </w:tc>
        <w:tc>
          <w:tcPr>
            <w:tcW w:w="2126" w:type="dxa"/>
            <w:tcBorders>
              <w:top w:val="single" w:color="auto" w:sz="4" w:space="0"/>
              <w:left w:val="single" w:color="auto" w:sz="4" w:space="0"/>
              <w:bottom w:val="single" w:color="auto" w:sz="4" w:space="0"/>
              <w:right w:val="single" w:color="auto" w:sz="4" w:space="0"/>
            </w:tcBorders>
          </w:tcPr>
          <w:p w14:paraId="0F99E54E">
            <w:pPr>
              <w:jc w:val="center"/>
              <w:rPr>
                <w:rFonts w:ascii="Times New Roman" w:hAnsi="Times New Roman" w:eastAsia="华文楷体"/>
                <w:b/>
                <w:sz w:val="18"/>
                <w:szCs w:val="18"/>
              </w:rPr>
            </w:pPr>
            <w:r>
              <w:rPr>
                <w:rFonts w:ascii="Times New Roman" w:hAnsi="Times New Roman" w:eastAsia="华文楷体"/>
                <w:b/>
                <w:sz w:val="18"/>
                <w:szCs w:val="18"/>
              </w:rPr>
              <w:t>贷款笔数</w:t>
            </w:r>
          </w:p>
        </w:tc>
        <w:tc>
          <w:tcPr>
            <w:tcW w:w="1276" w:type="dxa"/>
            <w:tcBorders>
              <w:top w:val="single" w:color="auto" w:sz="4" w:space="0"/>
              <w:left w:val="single" w:color="auto" w:sz="4" w:space="0"/>
              <w:bottom w:val="single" w:color="auto" w:sz="4" w:space="0"/>
            </w:tcBorders>
          </w:tcPr>
          <w:p w14:paraId="1DFE8FCB">
            <w:pPr>
              <w:jc w:val="center"/>
              <w:rPr>
                <w:rFonts w:ascii="Times New Roman" w:hAnsi="Times New Roman" w:eastAsia="华文楷体"/>
                <w:b/>
                <w:sz w:val="18"/>
                <w:szCs w:val="18"/>
              </w:rPr>
            </w:pPr>
            <w:r>
              <w:rPr>
                <w:rFonts w:ascii="Times New Roman" w:hAnsi="Times New Roman" w:eastAsia="华文楷体"/>
                <w:b/>
                <w:sz w:val="18"/>
                <w:szCs w:val="18"/>
              </w:rPr>
              <w:t>金额</w:t>
            </w:r>
          </w:p>
        </w:tc>
      </w:tr>
      <w:tr w14:paraId="72A450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5" w:type="dxa"/>
            <w:tcBorders>
              <w:top w:val="single" w:color="auto" w:sz="4" w:space="0"/>
              <w:bottom w:val="single" w:color="auto" w:sz="4" w:space="0"/>
              <w:right w:val="single" w:color="auto" w:sz="4" w:space="0"/>
            </w:tcBorders>
          </w:tcPr>
          <w:p w14:paraId="11573D84">
            <w:pPr>
              <w:rPr>
                <w:rFonts w:ascii="Times New Roman" w:hAnsi="Times New Roman" w:eastAsia="华文楷体"/>
                <w:sz w:val="18"/>
              </w:rPr>
            </w:pPr>
            <w:r>
              <w:rPr>
                <w:rFonts w:ascii="Times New Roman" w:hAnsi="Times New Roman" w:eastAsia="华文楷体"/>
                <w:sz w:val="18"/>
              </w:rPr>
              <w:t>(a) 逾期超过90天（不含90天）的贷款</w:t>
            </w:r>
          </w:p>
        </w:tc>
        <w:tc>
          <w:tcPr>
            <w:tcW w:w="1559" w:type="dxa"/>
            <w:tcBorders>
              <w:top w:val="single" w:color="auto" w:sz="4" w:space="0"/>
              <w:left w:val="single" w:color="auto" w:sz="4" w:space="0"/>
              <w:bottom w:val="single" w:color="auto" w:sz="4" w:space="0"/>
              <w:right w:val="single" w:color="auto" w:sz="4" w:space="0"/>
            </w:tcBorders>
          </w:tcPr>
          <w:p w14:paraId="5ADFA613">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right w:val="single" w:color="auto" w:sz="4" w:space="0"/>
            </w:tcBorders>
          </w:tcPr>
          <w:p w14:paraId="50F31EC9">
            <w:pPr>
              <w:jc w:val="center"/>
              <w:rPr>
                <w:rFonts w:ascii="Times New Roman" w:hAnsi="Times New Roman" w:eastAsia="华文楷体"/>
              </w:rPr>
            </w:pPr>
          </w:p>
        </w:tc>
        <w:tc>
          <w:tcPr>
            <w:tcW w:w="2126" w:type="dxa"/>
            <w:tcBorders>
              <w:top w:val="single" w:color="auto" w:sz="4" w:space="0"/>
              <w:left w:val="single" w:color="auto" w:sz="4" w:space="0"/>
              <w:bottom w:val="single" w:color="auto" w:sz="4" w:space="0"/>
              <w:right w:val="single" w:color="auto" w:sz="4" w:space="0"/>
            </w:tcBorders>
          </w:tcPr>
          <w:p w14:paraId="19F0F6D7">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tcBorders>
          </w:tcPr>
          <w:p w14:paraId="4C3A4636">
            <w:pPr>
              <w:jc w:val="center"/>
              <w:rPr>
                <w:rFonts w:ascii="Times New Roman" w:hAnsi="Times New Roman" w:eastAsia="华文楷体"/>
              </w:rPr>
            </w:pPr>
          </w:p>
        </w:tc>
      </w:tr>
      <w:tr w14:paraId="0D2BCC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5" w:type="dxa"/>
            <w:tcBorders>
              <w:top w:val="single" w:color="auto" w:sz="4" w:space="0"/>
              <w:bottom w:val="single" w:color="auto" w:sz="4" w:space="0"/>
              <w:right w:val="single" w:color="auto" w:sz="4" w:space="0"/>
            </w:tcBorders>
          </w:tcPr>
          <w:p w14:paraId="24B5B6C9">
            <w:pPr>
              <w:rPr>
                <w:rFonts w:ascii="Times New Roman" w:hAnsi="Times New Roman" w:eastAsia="华文楷体"/>
                <w:sz w:val="18"/>
              </w:rPr>
            </w:pPr>
            <w:r>
              <w:rPr>
                <w:rFonts w:ascii="Times New Roman" w:hAnsi="Times New Roman" w:eastAsia="华文楷体"/>
                <w:sz w:val="18"/>
              </w:rPr>
              <w:t>(b) 除(a)项以外，“贷款服务机构”根据其标准服务程序认定为损失的“贷款”</w:t>
            </w:r>
          </w:p>
        </w:tc>
        <w:tc>
          <w:tcPr>
            <w:tcW w:w="1559" w:type="dxa"/>
            <w:tcBorders>
              <w:top w:val="single" w:color="auto" w:sz="4" w:space="0"/>
              <w:left w:val="single" w:color="auto" w:sz="4" w:space="0"/>
              <w:bottom w:val="single" w:color="auto" w:sz="4" w:space="0"/>
              <w:right w:val="single" w:color="auto" w:sz="4" w:space="0"/>
            </w:tcBorders>
          </w:tcPr>
          <w:p w14:paraId="6A31FA62">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right w:val="single" w:color="auto" w:sz="4" w:space="0"/>
            </w:tcBorders>
          </w:tcPr>
          <w:p w14:paraId="1A5F78BD">
            <w:pPr>
              <w:jc w:val="center"/>
              <w:rPr>
                <w:rFonts w:ascii="Times New Roman" w:hAnsi="Times New Roman" w:eastAsia="华文楷体"/>
              </w:rPr>
            </w:pPr>
          </w:p>
        </w:tc>
        <w:tc>
          <w:tcPr>
            <w:tcW w:w="2126" w:type="dxa"/>
            <w:tcBorders>
              <w:top w:val="single" w:color="auto" w:sz="4" w:space="0"/>
              <w:left w:val="single" w:color="auto" w:sz="4" w:space="0"/>
              <w:bottom w:val="single" w:color="auto" w:sz="4" w:space="0"/>
              <w:right w:val="single" w:color="auto" w:sz="4" w:space="0"/>
            </w:tcBorders>
          </w:tcPr>
          <w:p w14:paraId="5BA7BD28">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tcBorders>
          </w:tcPr>
          <w:p w14:paraId="4D1080D8">
            <w:pPr>
              <w:jc w:val="center"/>
              <w:rPr>
                <w:rFonts w:ascii="Times New Roman" w:hAnsi="Times New Roman" w:eastAsia="华文楷体"/>
              </w:rPr>
            </w:pPr>
          </w:p>
        </w:tc>
      </w:tr>
      <w:tr w14:paraId="3AC8C9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5"/>
            <w:tcBorders>
              <w:top w:val="single" w:color="auto" w:sz="4" w:space="0"/>
              <w:bottom w:val="nil"/>
            </w:tcBorders>
          </w:tcPr>
          <w:p w14:paraId="64415E3A">
            <w:pPr>
              <w:rPr>
                <w:rFonts w:ascii="Times New Roman" w:hAnsi="Times New Roman" w:eastAsia="华文楷体"/>
              </w:rPr>
            </w:pPr>
          </w:p>
        </w:tc>
      </w:tr>
      <w:tr w14:paraId="676BA9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5"/>
            <w:tcBorders>
              <w:top w:val="nil"/>
              <w:bottom w:val="single" w:color="auto" w:sz="4" w:space="0"/>
            </w:tcBorders>
          </w:tcPr>
          <w:p w14:paraId="43D542AC">
            <w:pPr>
              <w:rPr>
                <w:rFonts w:ascii="Times New Roman" w:hAnsi="Times New Roman" w:eastAsia="华文楷体"/>
              </w:rPr>
            </w:pPr>
            <w:r>
              <w:rPr>
                <w:rFonts w:ascii="Times New Roman" w:hAnsi="Times New Roman" w:eastAsia="华文楷体"/>
              </w:rPr>
              <w:t>（三）违约贷款处置情况</w:t>
            </w:r>
          </w:p>
        </w:tc>
      </w:tr>
      <w:tr w14:paraId="1860A9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5" w:type="dxa"/>
            <w:tcBorders>
              <w:top w:val="single" w:color="auto" w:sz="4" w:space="0"/>
              <w:bottom w:val="single" w:color="auto" w:sz="4" w:space="0"/>
              <w:right w:val="single" w:color="auto" w:sz="4" w:space="0"/>
            </w:tcBorders>
          </w:tcPr>
          <w:p w14:paraId="28569972">
            <w:pPr>
              <w:rPr>
                <w:rFonts w:ascii="Times New Roman" w:hAnsi="Times New Roman" w:eastAsia="华文楷体"/>
                <w:b/>
                <w:sz w:val="18"/>
              </w:rPr>
            </w:pPr>
            <w:r>
              <w:rPr>
                <w:rFonts w:ascii="Times New Roman" w:hAnsi="Times New Roman" w:eastAsia="华文楷体"/>
                <w:b/>
                <w:sz w:val="18"/>
              </w:rPr>
              <w:t>处置状态</w:t>
            </w:r>
          </w:p>
        </w:tc>
        <w:tc>
          <w:tcPr>
            <w:tcW w:w="1559" w:type="dxa"/>
            <w:tcBorders>
              <w:top w:val="single" w:color="auto" w:sz="4" w:space="0"/>
              <w:left w:val="single" w:color="auto" w:sz="4" w:space="0"/>
              <w:bottom w:val="single" w:color="auto" w:sz="4" w:space="0"/>
              <w:right w:val="single" w:color="auto" w:sz="4" w:space="0"/>
            </w:tcBorders>
          </w:tcPr>
          <w:p w14:paraId="1D4960BD">
            <w:pPr>
              <w:jc w:val="center"/>
              <w:rPr>
                <w:rFonts w:ascii="Times New Roman" w:hAnsi="Times New Roman" w:eastAsia="华文楷体"/>
                <w:b/>
                <w:sz w:val="18"/>
                <w:szCs w:val="18"/>
              </w:rPr>
            </w:pPr>
            <w:r>
              <w:rPr>
                <w:rFonts w:ascii="Times New Roman" w:hAnsi="Times New Roman" w:eastAsia="华文楷体"/>
                <w:b/>
                <w:sz w:val="18"/>
                <w:szCs w:val="18"/>
              </w:rPr>
              <w:t>违约贷款笔数</w:t>
            </w:r>
          </w:p>
        </w:tc>
        <w:tc>
          <w:tcPr>
            <w:tcW w:w="1276" w:type="dxa"/>
            <w:tcBorders>
              <w:top w:val="single" w:color="auto" w:sz="4" w:space="0"/>
              <w:left w:val="single" w:color="auto" w:sz="4" w:space="0"/>
              <w:bottom w:val="single" w:color="auto" w:sz="4" w:space="0"/>
              <w:right w:val="single" w:color="auto" w:sz="4" w:space="0"/>
            </w:tcBorders>
          </w:tcPr>
          <w:p w14:paraId="23110096">
            <w:pPr>
              <w:jc w:val="center"/>
              <w:rPr>
                <w:rFonts w:ascii="Times New Roman" w:hAnsi="Times New Roman" w:eastAsia="华文楷体"/>
                <w:b/>
                <w:sz w:val="18"/>
                <w:szCs w:val="18"/>
              </w:rPr>
            </w:pPr>
            <w:r>
              <w:rPr>
                <w:rFonts w:ascii="Times New Roman" w:hAnsi="Times New Roman" w:eastAsia="华文楷体"/>
                <w:b/>
                <w:sz w:val="18"/>
                <w:szCs w:val="18"/>
              </w:rPr>
              <w:t>占初始起算日资产池贷款笔数百分比</w:t>
            </w:r>
          </w:p>
        </w:tc>
        <w:tc>
          <w:tcPr>
            <w:tcW w:w="2126" w:type="dxa"/>
            <w:tcBorders>
              <w:top w:val="single" w:color="auto" w:sz="4" w:space="0"/>
              <w:left w:val="single" w:color="auto" w:sz="4" w:space="0"/>
              <w:bottom w:val="single" w:color="auto" w:sz="4" w:space="0"/>
              <w:right w:val="single" w:color="auto" w:sz="4" w:space="0"/>
            </w:tcBorders>
          </w:tcPr>
          <w:p w14:paraId="5E5050BC">
            <w:pPr>
              <w:jc w:val="center"/>
              <w:rPr>
                <w:rFonts w:ascii="Times New Roman" w:hAnsi="Times New Roman" w:eastAsia="华文楷体"/>
                <w:b/>
                <w:sz w:val="18"/>
                <w:szCs w:val="18"/>
              </w:rPr>
            </w:pPr>
            <w:r>
              <w:rPr>
                <w:rFonts w:ascii="Times New Roman" w:hAnsi="Times New Roman" w:eastAsia="华文楷体"/>
                <w:b/>
                <w:sz w:val="18"/>
                <w:szCs w:val="18"/>
              </w:rPr>
              <w:t>违约时点所在收款期间期末的本金余额</w:t>
            </w:r>
          </w:p>
        </w:tc>
        <w:tc>
          <w:tcPr>
            <w:tcW w:w="1276" w:type="dxa"/>
            <w:tcBorders>
              <w:top w:val="single" w:color="auto" w:sz="4" w:space="0"/>
              <w:left w:val="single" w:color="auto" w:sz="4" w:space="0"/>
              <w:bottom w:val="single" w:color="auto" w:sz="4" w:space="0"/>
            </w:tcBorders>
          </w:tcPr>
          <w:p w14:paraId="4A3618C2">
            <w:pPr>
              <w:jc w:val="center"/>
              <w:rPr>
                <w:rFonts w:ascii="Times New Roman" w:hAnsi="Times New Roman" w:eastAsia="华文楷体"/>
                <w:b/>
                <w:sz w:val="18"/>
                <w:szCs w:val="18"/>
              </w:rPr>
            </w:pPr>
            <w:r>
              <w:rPr>
                <w:rFonts w:ascii="Times New Roman" w:hAnsi="Times New Roman" w:eastAsia="华文楷体"/>
                <w:b/>
                <w:sz w:val="18"/>
                <w:szCs w:val="18"/>
              </w:rPr>
              <w:t>占初始起算日资产池余额百分比</w:t>
            </w:r>
          </w:p>
        </w:tc>
      </w:tr>
      <w:tr w14:paraId="10DC4F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5" w:type="dxa"/>
            <w:tcBorders>
              <w:top w:val="single" w:color="auto" w:sz="4" w:space="0"/>
              <w:bottom w:val="single" w:color="auto" w:sz="4" w:space="0"/>
              <w:right w:val="single" w:color="auto" w:sz="4" w:space="0"/>
            </w:tcBorders>
          </w:tcPr>
          <w:p w14:paraId="4F613F87">
            <w:pPr>
              <w:rPr>
                <w:rFonts w:ascii="Times New Roman" w:hAnsi="Times New Roman" w:eastAsia="华文楷体"/>
                <w:sz w:val="18"/>
              </w:rPr>
            </w:pPr>
            <w:r>
              <w:rPr>
                <w:rFonts w:ascii="Times New Roman" w:hAnsi="Times New Roman" w:eastAsia="华文楷体"/>
                <w:sz w:val="18"/>
              </w:rPr>
              <w:t>经处置目前无拖欠</w:t>
            </w:r>
          </w:p>
        </w:tc>
        <w:tc>
          <w:tcPr>
            <w:tcW w:w="1559" w:type="dxa"/>
            <w:tcBorders>
              <w:top w:val="single" w:color="auto" w:sz="4" w:space="0"/>
              <w:left w:val="single" w:color="auto" w:sz="4" w:space="0"/>
              <w:bottom w:val="single" w:color="auto" w:sz="4" w:space="0"/>
              <w:right w:val="single" w:color="auto" w:sz="4" w:space="0"/>
            </w:tcBorders>
          </w:tcPr>
          <w:p w14:paraId="60CEF961">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right w:val="single" w:color="auto" w:sz="4" w:space="0"/>
            </w:tcBorders>
          </w:tcPr>
          <w:p w14:paraId="7F41E82F">
            <w:pPr>
              <w:jc w:val="center"/>
              <w:rPr>
                <w:rFonts w:ascii="Times New Roman" w:hAnsi="Times New Roman" w:eastAsia="华文楷体"/>
              </w:rPr>
            </w:pPr>
          </w:p>
        </w:tc>
        <w:tc>
          <w:tcPr>
            <w:tcW w:w="2126" w:type="dxa"/>
            <w:tcBorders>
              <w:top w:val="single" w:color="auto" w:sz="4" w:space="0"/>
              <w:left w:val="single" w:color="auto" w:sz="4" w:space="0"/>
              <w:bottom w:val="single" w:color="auto" w:sz="4" w:space="0"/>
              <w:right w:val="single" w:color="auto" w:sz="4" w:space="0"/>
            </w:tcBorders>
          </w:tcPr>
          <w:p w14:paraId="1E754D23">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tcBorders>
          </w:tcPr>
          <w:p w14:paraId="151CE726">
            <w:pPr>
              <w:jc w:val="center"/>
              <w:rPr>
                <w:rFonts w:ascii="Times New Roman" w:hAnsi="Times New Roman" w:eastAsia="华文楷体"/>
              </w:rPr>
            </w:pPr>
          </w:p>
        </w:tc>
      </w:tr>
      <w:tr w14:paraId="24ADBD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5" w:type="dxa"/>
            <w:tcBorders>
              <w:top w:val="single" w:color="auto" w:sz="4" w:space="0"/>
              <w:bottom w:val="single" w:color="auto" w:sz="4" w:space="0"/>
              <w:right w:val="single" w:color="auto" w:sz="4" w:space="0"/>
            </w:tcBorders>
          </w:tcPr>
          <w:p w14:paraId="6EE10D40">
            <w:pPr>
              <w:rPr>
                <w:rFonts w:ascii="Times New Roman" w:hAnsi="Times New Roman" w:eastAsia="华文楷体"/>
                <w:sz w:val="18"/>
              </w:rPr>
            </w:pPr>
            <w:r>
              <w:rPr>
                <w:rFonts w:ascii="Times New Roman" w:hAnsi="Times New Roman" w:eastAsia="华文楷体"/>
                <w:sz w:val="18"/>
              </w:rPr>
              <w:t>非诉讼类处置</w:t>
            </w:r>
          </w:p>
        </w:tc>
        <w:tc>
          <w:tcPr>
            <w:tcW w:w="1559" w:type="dxa"/>
            <w:tcBorders>
              <w:top w:val="single" w:color="auto" w:sz="4" w:space="0"/>
              <w:left w:val="single" w:color="auto" w:sz="4" w:space="0"/>
              <w:bottom w:val="single" w:color="auto" w:sz="4" w:space="0"/>
              <w:right w:val="single" w:color="auto" w:sz="4" w:space="0"/>
            </w:tcBorders>
          </w:tcPr>
          <w:p w14:paraId="4AC6309C">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right w:val="single" w:color="auto" w:sz="4" w:space="0"/>
            </w:tcBorders>
          </w:tcPr>
          <w:p w14:paraId="30439AED">
            <w:pPr>
              <w:jc w:val="center"/>
              <w:rPr>
                <w:rFonts w:ascii="Times New Roman" w:hAnsi="Times New Roman" w:eastAsia="华文楷体"/>
              </w:rPr>
            </w:pPr>
          </w:p>
        </w:tc>
        <w:tc>
          <w:tcPr>
            <w:tcW w:w="2126" w:type="dxa"/>
            <w:tcBorders>
              <w:top w:val="single" w:color="auto" w:sz="4" w:space="0"/>
              <w:left w:val="single" w:color="auto" w:sz="4" w:space="0"/>
              <w:bottom w:val="single" w:color="auto" w:sz="4" w:space="0"/>
              <w:right w:val="single" w:color="auto" w:sz="4" w:space="0"/>
            </w:tcBorders>
          </w:tcPr>
          <w:p w14:paraId="2C9B502A">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tcBorders>
          </w:tcPr>
          <w:p w14:paraId="5D5F1B78">
            <w:pPr>
              <w:jc w:val="center"/>
              <w:rPr>
                <w:rFonts w:ascii="Times New Roman" w:hAnsi="Times New Roman" w:eastAsia="华文楷体"/>
              </w:rPr>
            </w:pPr>
          </w:p>
        </w:tc>
      </w:tr>
      <w:tr w14:paraId="2AB13B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5" w:type="dxa"/>
            <w:tcBorders>
              <w:top w:val="single" w:color="auto" w:sz="4" w:space="0"/>
              <w:bottom w:val="single" w:color="auto" w:sz="4" w:space="0"/>
              <w:right w:val="single" w:color="auto" w:sz="4" w:space="0"/>
            </w:tcBorders>
          </w:tcPr>
          <w:p w14:paraId="385E3BE6">
            <w:pPr>
              <w:rPr>
                <w:rFonts w:ascii="Times New Roman" w:hAnsi="Times New Roman" w:eastAsia="华文楷体"/>
                <w:sz w:val="18"/>
              </w:rPr>
            </w:pPr>
            <w:r>
              <w:rPr>
                <w:rFonts w:ascii="Times New Roman" w:hAnsi="Times New Roman" w:eastAsia="华文楷体"/>
                <w:sz w:val="18"/>
              </w:rPr>
              <w:t>诉讼处置：</w:t>
            </w:r>
          </w:p>
        </w:tc>
        <w:tc>
          <w:tcPr>
            <w:tcW w:w="1559" w:type="dxa"/>
            <w:tcBorders>
              <w:top w:val="single" w:color="auto" w:sz="4" w:space="0"/>
              <w:left w:val="single" w:color="auto" w:sz="4" w:space="0"/>
              <w:bottom w:val="single" w:color="auto" w:sz="4" w:space="0"/>
              <w:right w:val="single" w:color="auto" w:sz="4" w:space="0"/>
            </w:tcBorders>
          </w:tcPr>
          <w:p w14:paraId="122CA7BF">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right w:val="single" w:color="auto" w:sz="4" w:space="0"/>
            </w:tcBorders>
          </w:tcPr>
          <w:p w14:paraId="562BFEE9">
            <w:pPr>
              <w:jc w:val="center"/>
              <w:rPr>
                <w:rFonts w:ascii="Times New Roman" w:hAnsi="Times New Roman" w:eastAsia="华文楷体"/>
              </w:rPr>
            </w:pPr>
          </w:p>
        </w:tc>
        <w:tc>
          <w:tcPr>
            <w:tcW w:w="2126" w:type="dxa"/>
            <w:tcBorders>
              <w:top w:val="single" w:color="auto" w:sz="4" w:space="0"/>
              <w:left w:val="single" w:color="auto" w:sz="4" w:space="0"/>
              <w:bottom w:val="single" w:color="auto" w:sz="4" w:space="0"/>
              <w:right w:val="single" w:color="auto" w:sz="4" w:space="0"/>
            </w:tcBorders>
          </w:tcPr>
          <w:p w14:paraId="70DF1725">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tcBorders>
          </w:tcPr>
          <w:p w14:paraId="3987D2DD">
            <w:pPr>
              <w:jc w:val="center"/>
              <w:rPr>
                <w:rFonts w:ascii="Times New Roman" w:hAnsi="Times New Roman" w:eastAsia="华文楷体"/>
              </w:rPr>
            </w:pPr>
          </w:p>
        </w:tc>
      </w:tr>
      <w:tr w14:paraId="46402A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5" w:type="dxa"/>
            <w:tcBorders>
              <w:top w:val="single" w:color="auto" w:sz="4" w:space="0"/>
              <w:bottom w:val="single" w:color="auto" w:sz="4" w:space="0"/>
              <w:right w:val="single" w:color="auto" w:sz="4" w:space="0"/>
            </w:tcBorders>
          </w:tcPr>
          <w:p w14:paraId="6C512228">
            <w:pPr>
              <w:jc w:val="right"/>
              <w:rPr>
                <w:rFonts w:ascii="Times New Roman" w:hAnsi="Times New Roman" w:eastAsia="华文楷体"/>
                <w:sz w:val="18"/>
              </w:rPr>
            </w:pPr>
            <w:r>
              <w:rPr>
                <w:rFonts w:ascii="Times New Roman" w:hAnsi="Times New Roman" w:eastAsia="华文楷体"/>
                <w:sz w:val="18"/>
              </w:rPr>
              <w:t>进入诉讼准备程序</w:t>
            </w:r>
          </w:p>
        </w:tc>
        <w:tc>
          <w:tcPr>
            <w:tcW w:w="1559" w:type="dxa"/>
            <w:tcBorders>
              <w:top w:val="single" w:color="auto" w:sz="4" w:space="0"/>
              <w:left w:val="single" w:color="auto" w:sz="4" w:space="0"/>
              <w:bottom w:val="single" w:color="auto" w:sz="4" w:space="0"/>
              <w:right w:val="single" w:color="auto" w:sz="4" w:space="0"/>
            </w:tcBorders>
          </w:tcPr>
          <w:p w14:paraId="7F98592E">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right w:val="single" w:color="auto" w:sz="4" w:space="0"/>
            </w:tcBorders>
          </w:tcPr>
          <w:p w14:paraId="12A23545">
            <w:pPr>
              <w:jc w:val="center"/>
              <w:rPr>
                <w:rFonts w:ascii="Times New Roman" w:hAnsi="Times New Roman" w:eastAsia="华文楷体"/>
              </w:rPr>
            </w:pPr>
          </w:p>
        </w:tc>
        <w:tc>
          <w:tcPr>
            <w:tcW w:w="2126" w:type="dxa"/>
            <w:tcBorders>
              <w:top w:val="single" w:color="auto" w:sz="4" w:space="0"/>
              <w:left w:val="single" w:color="auto" w:sz="4" w:space="0"/>
              <w:bottom w:val="single" w:color="auto" w:sz="4" w:space="0"/>
              <w:right w:val="single" w:color="auto" w:sz="4" w:space="0"/>
            </w:tcBorders>
          </w:tcPr>
          <w:p w14:paraId="73E25FC5">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tcBorders>
          </w:tcPr>
          <w:p w14:paraId="4E810240">
            <w:pPr>
              <w:jc w:val="center"/>
              <w:rPr>
                <w:rFonts w:ascii="Times New Roman" w:hAnsi="Times New Roman" w:eastAsia="华文楷体"/>
              </w:rPr>
            </w:pPr>
          </w:p>
        </w:tc>
      </w:tr>
      <w:tr w14:paraId="0966EC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5" w:type="dxa"/>
            <w:tcBorders>
              <w:top w:val="single" w:color="auto" w:sz="4" w:space="0"/>
              <w:bottom w:val="single" w:color="auto" w:sz="4" w:space="0"/>
              <w:right w:val="single" w:color="auto" w:sz="4" w:space="0"/>
            </w:tcBorders>
          </w:tcPr>
          <w:p w14:paraId="26AAE410">
            <w:pPr>
              <w:jc w:val="right"/>
              <w:rPr>
                <w:rFonts w:ascii="Times New Roman" w:hAnsi="Times New Roman" w:eastAsia="华文楷体"/>
                <w:sz w:val="18"/>
              </w:rPr>
            </w:pPr>
            <w:r>
              <w:rPr>
                <w:rFonts w:ascii="Times New Roman" w:hAnsi="Times New Roman" w:eastAsia="华文楷体"/>
                <w:sz w:val="18"/>
              </w:rPr>
              <w:t>进入法庭受理程序</w:t>
            </w:r>
          </w:p>
        </w:tc>
        <w:tc>
          <w:tcPr>
            <w:tcW w:w="1559" w:type="dxa"/>
            <w:tcBorders>
              <w:top w:val="single" w:color="auto" w:sz="4" w:space="0"/>
              <w:left w:val="single" w:color="auto" w:sz="4" w:space="0"/>
              <w:bottom w:val="single" w:color="auto" w:sz="4" w:space="0"/>
              <w:right w:val="single" w:color="auto" w:sz="4" w:space="0"/>
            </w:tcBorders>
          </w:tcPr>
          <w:p w14:paraId="04FC0DD0">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right w:val="single" w:color="auto" w:sz="4" w:space="0"/>
            </w:tcBorders>
          </w:tcPr>
          <w:p w14:paraId="54AA896D">
            <w:pPr>
              <w:jc w:val="center"/>
              <w:rPr>
                <w:rFonts w:ascii="Times New Roman" w:hAnsi="Times New Roman" w:eastAsia="华文楷体"/>
              </w:rPr>
            </w:pPr>
          </w:p>
        </w:tc>
        <w:tc>
          <w:tcPr>
            <w:tcW w:w="2126" w:type="dxa"/>
            <w:tcBorders>
              <w:top w:val="single" w:color="auto" w:sz="4" w:space="0"/>
              <w:left w:val="single" w:color="auto" w:sz="4" w:space="0"/>
              <w:bottom w:val="single" w:color="auto" w:sz="4" w:space="0"/>
              <w:right w:val="single" w:color="auto" w:sz="4" w:space="0"/>
            </w:tcBorders>
          </w:tcPr>
          <w:p w14:paraId="2D670286">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tcBorders>
          </w:tcPr>
          <w:p w14:paraId="63D8A60B">
            <w:pPr>
              <w:jc w:val="center"/>
              <w:rPr>
                <w:rFonts w:ascii="Times New Roman" w:hAnsi="Times New Roman" w:eastAsia="华文楷体"/>
              </w:rPr>
            </w:pPr>
          </w:p>
        </w:tc>
      </w:tr>
      <w:tr w14:paraId="4931C0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5" w:type="dxa"/>
            <w:tcBorders>
              <w:top w:val="single" w:color="auto" w:sz="4" w:space="0"/>
              <w:bottom w:val="single" w:color="auto" w:sz="4" w:space="0"/>
              <w:right w:val="single" w:color="auto" w:sz="4" w:space="0"/>
            </w:tcBorders>
          </w:tcPr>
          <w:p w14:paraId="4C8267E8">
            <w:pPr>
              <w:jc w:val="right"/>
              <w:rPr>
                <w:rFonts w:ascii="Times New Roman" w:hAnsi="Times New Roman" w:eastAsia="华文楷体"/>
                <w:sz w:val="18"/>
              </w:rPr>
            </w:pPr>
            <w:r>
              <w:rPr>
                <w:rFonts w:ascii="Times New Roman" w:hAnsi="Times New Roman" w:eastAsia="华文楷体"/>
                <w:sz w:val="18"/>
              </w:rPr>
              <w:t>进入执行拍卖程序</w:t>
            </w:r>
          </w:p>
        </w:tc>
        <w:tc>
          <w:tcPr>
            <w:tcW w:w="1559" w:type="dxa"/>
            <w:tcBorders>
              <w:top w:val="single" w:color="auto" w:sz="4" w:space="0"/>
              <w:left w:val="single" w:color="auto" w:sz="4" w:space="0"/>
              <w:bottom w:val="single" w:color="auto" w:sz="4" w:space="0"/>
              <w:right w:val="single" w:color="auto" w:sz="4" w:space="0"/>
            </w:tcBorders>
          </w:tcPr>
          <w:p w14:paraId="41D91782">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right w:val="single" w:color="auto" w:sz="4" w:space="0"/>
            </w:tcBorders>
          </w:tcPr>
          <w:p w14:paraId="4067A31A">
            <w:pPr>
              <w:jc w:val="center"/>
              <w:rPr>
                <w:rFonts w:ascii="Times New Roman" w:hAnsi="Times New Roman" w:eastAsia="华文楷体"/>
              </w:rPr>
            </w:pPr>
          </w:p>
        </w:tc>
        <w:tc>
          <w:tcPr>
            <w:tcW w:w="2126" w:type="dxa"/>
            <w:tcBorders>
              <w:top w:val="single" w:color="auto" w:sz="4" w:space="0"/>
              <w:left w:val="single" w:color="auto" w:sz="4" w:space="0"/>
              <w:bottom w:val="single" w:color="auto" w:sz="4" w:space="0"/>
              <w:right w:val="single" w:color="auto" w:sz="4" w:space="0"/>
            </w:tcBorders>
          </w:tcPr>
          <w:p w14:paraId="62E90438">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tcBorders>
          </w:tcPr>
          <w:p w14:paraId="2053C824">
            <w:pPr>
              <w:jc w:val="center"/>
              <w:rPr>
                <w:rFonts w:ascii="Times New Roman" w:hAnsi="Times New Roman" w:eastAsia="华文楷体"/>
              </w:rPr>
            </w:pPr>
          </w:p>
        </w:tc>
      </w:tr>
      <w:tr w14:paraId="5C3B36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5" w:type="dxa"/>
            <w:tcBorders>
              <w:top w:val="single" w:color="auto" w:sz="4" w:space="0"/>
              <w:bottom w:val="single" w:color="auto" w:sz="4" w:space="0"/>
              <w:right w:val="single" w:color="auto" w:sz="4" w:space="0"/>
            </w:tcBorders>
          </w:tcPr>
          <w:p w14:paraId="14C058BE">
            <w:pPr>
              <w:rPr>
                <w:rFonts w:ascii="Times New Roman" w:hAnsi="Times New Roman" w:eastAsia="华文楷体"/>
                <w:sz w:val="18"/>
              </w:rPr>
            </w:pPr>
            <w:r>
              <w:rPr>
                <w:rFonts w:ascii="Times New Roman" w:hAnsi="Times New Roman" w:eastAsia="华文楷体"/>
                <w:sz w:val="18"/>
              </w:rPr>
              <w:t>经处置已结清</w:t>
            </w:r>
          </w:p>
        </w:tc>
        <w:tc>
          <w:tcPr>
            <w:tcW w:w="1559" w:type="dxa"/>
            <w:tcBorders>
              <w:top w:val="single" w:color="auto" w:sz="4" w:space="0"/>
              <w:left w:val="single" w:color="auto" w:sz="4" w:space="0"/>
              <w:bottom w:val="single" w:color="auto" w:sz="4" w:space="0"/>
              <w:right w:val="single" w:color="auto" w:sz="4" w:space="0"/>
            </w:tcBorders>
          </w:tcPr>
          <w:p w14:paraId="321939EE">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right w:val="single" w:color="auto" w:sz="4" w:space="0"/>
            </w:tcBorders>
          </w:tcPr>
          <w:p w14:paraId="0CD02F30">
            <w:pPr>
              <w:jc w:val="center"/>
              <w:rPr>
                <w:rFonts w:ascii="Times New Roman" w:hAnsi="Times New Roman" w:eastAsia="华文楷体"/>
              </w:rPr>
            </w:pPr>
          </w:p>
        </w:tc>
        <w:tc>
          <w:tcPr>
            <w:tcW w:w="2126" w:type="dxa"/>
            <w:tcBorders>
              <w:top w:val="single" w:color="auto" w:sz="4" w:space="0"/>
              <w:left w:val="single" w:color="auto" w:sz="4" w:space="0"/>
              <w:bottom w:val="single" w:color="auto" w:sz="4" w:space="0"/>
              <w:right w:val="single" w:color="auto" w:sz="4" w:space="0"/>
            </w:tcBorders>
          </w:tcPr>
          <w:p w14:paraId="29AF021B">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tcBorders>
          </w:tcPr>
          <w:p w14:paraId="39F08C18">
            <w:pPr>
              <w:jc w:val="center"/>
              <w:rPr>
                <w:rFonts w:ascii="Times New Roman" w:hAnsi="Times New Roman" w:eastAsia="华文楷体"/>
              </w:rPr>
            </w:pPr>
          </w:p>
        </w:tc>
      </w:tr>
      <w:tr w14:paraId="1A8306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5" w:type="dxa"/>
            <w:tcBorders>
              <w:top w:val="single" w:color="auto" w:sz="4" w:space="0"/>
              <w:bottom w:val="single" w:color="auto" w:sz="4" w:space="0"/>
              <w:right w:val="single" w:color="auto" w:sz="4" w:space="0"/>
            </w:tcBorders>
          </w:tcPr>
          <w:p w14:paraId="66AF7EBF">
            <w:pPr>
              <w:rPr>
                <w:rFonts w:ascii="Times New Roman" w:hAnsi="Times New Roman" w:eastAsia="华文楷体"/>
                <w:sz w:val="18"/>
              </w:rPr>
            </w:pPr>
            <w:r>
              <w:rPr>
                <w:rFonts w:ascii="Times New Roman" w:hAnsi="Times New Roman" w:eastAsia="华文楷体"/>
                <w:sz w:val="18"/>
              </w:rPr>
              <w:t>经处置已核销</w:t>
            </w:r>
          </w:p>
        </w:tc>
        <w:tc>
          <w:tcPr>
            <w:tcW w:w="1559" w:type="dxa"/>
            <w:tcBorders>
              <w:top w:val="single" w:color="auto" w:sz="4" w:space="0"/>
              <w:left w:val="single" w:color="auto" w:sz="4" w:space="0"/>
              <w:bottom w:val="single" w:color="auto" w:sz="4" w:space="0"/>
              <w:right w:val="single" w:color="auto" w:sz="4" w:space="0"/>
            </w:tcBorders>
          </w:tcPr>
          <w:p w14:paraId="759E44EB">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right w:val="single" w:color="auto" w:sz="4" w:space="0"/>
            </w:tcBorders>
          </w:tcPr>
          <w:p w14:paraId="53C6DBEA">
            <w:pPr>
              <w:jc w:val="center"/>
              <w:rPr>
                <w:rFonts w:ascii="Times New Roman" w:hAnsi="Times New Roman" w:eastAsia="华文楷体"/>
              </w:rPr>
            </w:pPr>
          </w:p>
        </w:tc>
        <w:tc>
          <w:tcPr>
            <w:tcW w:w="2126" w:type="dxa"/>
            <w:tcBorders>
              <w:top w:val="single" w:color="auto" w:sz="4" w:space="0"/>
              <w:left w:val="single" w:color="auto" w:sz="4" w:space="0"/>
              <w:bottom w:val="single" w:color="auto" w:sz="4" w:space="0"/>
              <w:right w:val="single" w:color="auto" w:sz="4" w:space="0"/>
            </w:tcBorders>
          </w:tcPr>
          <w:p w14:paraId="0EEF7342">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tcBorders>
          </w:tcPr>
          <w:p w14:paraId="132556E3">
            <w:pPr>
              <w:jc w:val="center"/>
              <w:rPr>
                <w:rFonts w:ascii="Times New Roman" w:hAnsi="Times New Roman" w:eastAsia="华文楷体"/>
              </w:rPr>
            </w:pPr>
          </w:p>
        </w:tc>
      </w:tr>
      <w:tr w14:paraId="24F77F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5" w:type="dxa"/>
            <w:tcBorders>
              <w:top w:val="single" w:color="auto" w:sz="4" w:space="0"/>
              <w:bottom w:val="single" w:color="auto" w:sz="4" w:space="0"/>
              <w:right w:val="single" w:color="auto" w:sz="4" w:space="0"/>
            </w:tcBorders>
          </w:tcPr>
          <w:p w14:paraId="2FAB92FF">
            <w:pPr>
              <w:rPr>
                <w:rFonts w:ascii="Times New Roman" w:hAnsi="Times New Roman" w:eastAsia="华文楷体"/>
                <w:b/>
                <w:sz w:val="18"/>
              </w:rPr>
            </w:pPr>
            <w:r>
              <w:rPr>
                <w:rFonts w:ascii="Times New Roman" w:hAnsi="Times New Roman" w:eastAsia="华文楷体"/>
                <w:b/>
                <w:sz w:val="18"/>
              </w:rPr>
              <w:t>合计</w:t>
            </w:r>
          </w:p>
        </w:tc>
        <w:tc>
          <w:tcPr>
            <w:tcW w:w="1559" w:type="dxa"/>
            <w:tcBorders>
              <w:top w:val="single" w:color="auto" w:sz="4" w:space="0"/>
              <w:left w:val="single" w:color="auto" w:sz="4" w:space="0"/>
              <w:bottom w:val="single" w:color="auto" w:sz="4" w:space="0"/>
              <w:right w:val="single" w:color="auto" w:sz="4" w:space="0"/>
            </w:tcBorders>
          </w:tcPr>
          <w:p w14:paraId="64330F62">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right w:val="single" w:color="auto" w:sz="4" w:space="0"/>
            </w:tcBorders>
          </w:tcPr>
          <w:p w14:paraId="15E21F23">
            <w:pPr>
              <w:jc w:val="center"/>
              <w:rPr>
                <w:rFonts w:ascii="Times New Roman" w:hAnsi="Times New Roman" w:eastAsia="华文楷体"/>
              </w:rPr>
            </w:pPr>
          </w:p>
        </w:tc>
        <w:tc>
          <w:tcPr>
            <w:tcW w:w="2126" w:type="dxa"/>
            <w:tcBorders>
              <w:top w:val="single" w:color="auto" w:sz="4" w:space="0"/>
              <w:left w:val="single" w:color="auto" w:sz="4" w:space="0"/>
              <w:bottom w:val="single" w:color="auto" w:sz="4" w:space="0"/>
              <w:right w:val="single" w:color="auto" w:sz="4" w:space="0"/>
            </w:tcBorders>
          </w:tcPr>
          <w:p w14:paraId="1ED130D9">
            <w:pPr>
              <w:jc w:val="center"/>
              <w:rPr>
                <w:rFonts w:ascii="Times New Roman" w:hAnsi="Times New Roman" w:eastAsia="华文楷体"/>
              </w:rPr>
            </w:pPr>
          </w:p>
        </w:tc>
        <w:tc>
          <w:tcPr>
            <w:tcW w:w="1276" w:type="dxa"/>
            <w:tcBorders>
              <w:top w:val="single" w:color="auto" w:sz="4" w:space="0"/>
              <w:left w:val="single" w:color="auto" w:sz="4" w:space="0"/>
              <w:bottom w:val="single" w:color="auto" w:sz="4" w:space="0"/>
            </w:tcBorders>
          </w:tcPr>
          <w:p w14:paraId="5A4BB1F9">
            <w:pPr>
              <w:jc w:val="center"/>
              <w:rPr>
                <w:rFonts w:ascii="Times New Roman" w:hAnsi="Times New Roman" w:eastAsia="华文楷体"/>
              </w:rPr>
            </w:pPr>
          </w:p>
        </w:tc>
      </w:tr>
    </w:tbl>
    <w:p w14:paraId="45EA61CC">
      <w:pPr>
        <w:rPr>
          <w:rFonts w:ascii="Times New Roman" w:hAnsi="Times New Roman" w:eastAsia="华文楷体"/>
        </w:rPr>
      </w:pPr>
    </w:p>
    <w:p w14:paraId="4BB6A74D">
      <w:pPr>
        <w:rPr>
          <w:rFonts w:ascii="Times New Roman" w:hAnsi="Times New Roman" w:eastAsia="华文楷体"/>
        </w:rPr>
      </w:pPr>
    </w:p>
    <w:tbl>
      <w:tblPr>
        <w:tblStyle w:val="30"/>
        <w:tblW w:w="847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51"/>
        <w:gridCol w:w="2552"/>
        <w:gridCol w:w="3969"/>
      </w:tblGrid>
      <w:tr w14:paraId="60767B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3"/>
            <w:tcBorders>
              <w:top w:val="single" w:color="auto" w:sz="4" w:space="0"/>
              <w:bottom w:val="single" w:color="auto" w:sz="4" w:space="0"/>
            </w:tcBorders>
          </w:tcPr>
          <w:p w14:paraId="393D06CC">
            <w:pPr>
              <w:jc w:val="center"/>
              <w:rPr>
                <w:rFonts w:ascii="Times New Roman" w:hAnsi="Times New Roman" w:eastAsia="华文楷体"/>
                <w:b/>
                <w:sz w:val="28"/>
              </w:rPr>
            </w:pPr>
            <w:r>
              <w:rPr>
                <w:rFonts w:ascii="Times New Roman" w:hAnsi="Times New Roman" w:eastAsia="华文楷体"/>
                <w:b/>
                <w:sz w:val="28"/>
              </w:rPr>
              <w:t>【信托名称】</w:t>
            </w:r>
          </w:p>
          <w:p w14:paraId="753A8112">
            <w:pPr>
              <w:jc w:val="center"/>
              <w:rPr>
                <w:rFonts w:ascii="Times New Roman" w:hAnsi="Times New Roman" w:eastAsia="华文楷体"/>
                <w:b/>
              </w:rPr>
            </w:pPr>
            <w:r>
              <w:rPr>
                <w:rFonts w:ascii="Times New Roman" w:hAnsi="Times New Roman" w:eastAsia="华文楷体"/>
                <w:b/>
                <w:sz w:val="28"/>
              </w:rPr>
              <w:t>受托机构月度/年度报告</w:t>
            </w:r>
          </w:p>
        </w:tc>
      </w:tr>
      <w:tr w14:paraId="68EED1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3"/>
            <w:tcBorders>
              <w:top w:val="single" w:color="auto" w:sz="4" w:space="0"/>
              <w:bottom w:val="nil"/>
            </w:tcBorders>
          </w:tcPr>
          <w:p w14:paraId="3C7B801E">
            <w:pPr>
              <w:rPr>
                <w:rFonts w:ascii="Times New Roman" w:hAnsi="Times New Roman" w:eastAsia="华文楷体"/>
                <w:b/>
              </w:rPr>
            </w:pPr>
            <w:r>
              <w:rPr>
                <w:rFonts w:ascii="Times New Roman" w:hAnsi="Times New Roman" w:eastAsia="华文楷体"/>
                <w:b/>
              </w:rPr>
              <w:t>三、资产池情况</w:t>
            </w:r>
          </w:p>
        </w:tc>
      </w:tr>
      <w:tr w14:paraId="65CECA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3"/>
            <w:tcBorders>
              <w:top w:val="nil"/>
              <w:bottom w:val="single" w:color="auto" w:sz="4" w:space="0"/>
            </w:tcBorders>
          </w:tcPr>
          <w:p w14:paraId="2CF2485C">
            <w:pPr>
              <w:rPr>
                <w:rFonts w:ascii="Times New Roman" w:hAnsi="Times New Roman" w:eastAsia="华文楷体"/>
                <w:b/>
              </w:rPr>
            </w:pPr>
            <w:r>
              <w:rPr>
                <w:rFonts w:ascii="Times New Roman" w:hAnsi="Times New Roman" w:eastAsia="华文楷体"/>
              </w:rPr>
              <w:t>（四）累计违约率：</w:t>
            </w:r>
          </w:p>
        </w:tc>
      </w:tr>
      <w:tr w14:paraId="7AE6F4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bottom w:val="single" w:color="auto" w:sz="4" w:space="0"/>
              <w:right w:val="single" w:color="auto" w:sz="4" w:space="0"/>
            </w:tcBorders>
          </w:tcPr>
          <w:p w14:paraId="4938FC6F">
            <w:pPr>
              <w:rPr>
                <w:rFonts w:ascii="Times New Roman" w:hAnsi="Times New Roman" w:eastAsia="华文楷体"/>
                <w:b/>
              </w:rPr>
            </w:pPr>
            <w:r>
              <w:rPr>
                <w:rFonts w:ascii="Times New Roman" w:hAnsi="Times New Roman" w:eastAsia="华文楷体"/>
                <w:b/>
              </w:rPr>
              <w:t>期数</w:t>
            </w:r>
          </w:p>
        </w:tc>
        <w:tc>
          <w:tcPr>
            <w:tcW w:w="2552" w:type="dxa"/>
            <w:tcBorders>
              <w:top w:val="single" w:color="auto" w:sz="4" w:space="0"/>
              <w:left w:val="single" w:color="auto" w:sz="4" w:space="0"/>
              <w:bottom w:val="single" w:color="auto" w:sz="4" w:space="0"/>
              <w:right w:val="single" w:color="auto" w:sz="4" w:space="0"/>
            </w:tcBorders>
          </w:tcPr>
          <w:p w14:paraId="2A390EAF">
            <w:pPr>
              <w:jc w:val="center"/>
              <w:rPr>
                <w:rFonts w:ascii="Times New Roman" w:hAnsi="Times New Roman" w:eastAsia="华文楷体"/>
                <w:b/>
                <w:sz w:val="18"/>
              </w:rPr>
            </w:pPr>
            <w:r>
              <w:rPr>
                <w:rFonts w:ascii="Times New Roman" w:hAnsi="Times New Roman" w:eastAsia="华文楷体"/>
                <w:b/>
                <w:sz w:val="18"/>
              </w:rPr>
              <w:t>报告日期</w:t>
            </w:r>
          </w:p>
        </w:tc>
        <w:tc>
          <w:tcPr>
            <w:tcW w:w="3969" w:type="dxa"/>
            <w:tcBorders>
              <w:top w:val="single" w:color="auto" w:sz="4" w:space="0"/>
              <w:left w:val="single" w:color="auto" w:sz="4" w:space="0"/>
              <w:bottom w:val="single" w:color="auto" w:sz="4" w:space="0"/>
            </w:tcBorders>
          </w:tcPr>
          <w:p w14:paraId="69F519AD">
            <w:pPr>
              <w:jc w:val="center"/>
              <w:rPr>
                <w:rFonts w:ascii="Times New Roman" w:hAnsi="Times New Roman" w:eastAsia="华文楷体"/>
                <w:b/>
                <w:sz w:val="18"/>
              </w:rPr>
            </w:pPr>
            <w:r>
              <w:rPr>
                <w:rFonts w:ascii="Times New Roman" w:hAnsi="Times New Roman" w:eastAsia="华文楷体"/>
                <w:b/>
                <w:sz w:val="18"/>
              </w:rPr>
              <w:t>累计违约率</w:t>
            </w:r>
          </w:p>
        </w:tc>
      </w:tr>
      <w:tr w14:paraId="1A2CAB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bottom w:val="single" w:color="auto" w:sz="4" w:space="0"/>
              <w:right w:val="single" w:color="auto" w:sz="4" w:space="0"/>
            </w:tcBorders>
          </w:tcPr>
          <w:p w14:paraId="09387611">
            <w:pPr>
              <w:rPr>
                <w:rFonts w:ascii="Times New Roman" w:hAnsi="Times New Roman" w:eastAsia="华文楷体"/>
                <w:sz w:val="18"/>
              </w:rPr>
            </w:pPr>
            <w:r>
              <w:rPr>
                <w:rFonts w:ascii="Times New Roman" w:hAnsi="Times New Roman" w:eastAsia="华文楷体"/>
                <w:sz w:val="18"/>
              </w:rPr>
              <w:t>第1期</w:t>
            </w:r>
          </w:p>
        </w:tc>
        <w:tc>
          <w:tcPr>
            <w:tcW w:w="2552" w:type="dxa"/>
            <w:tcBorders>
              <w:top w:val="single" w:color="auto" w:sz="4" w:space="0"/>
              <w:left w:val="single" w:color="auto" w:sz="4" w:space="0"/>
              <w:bottom w:val="single" w:color="auto" w:sz="4" w:space="0"/>
              <w:right w:val="single" w:color="auto" w:sz="4" w:space="0"/>
            </w:tcBorders>
          </w:tcPr>
          <w:p w14:paraId="5616102A">
            <w:pPr>
              <w:jc w:val="center"/>
              <w:rPr>
                <w:rFonts w:ascii="Times New Roman" w:hAnsi="Times New Roman" w:eastAsia="华文楷体"/>
              </w:rPr>
            </w:pPr>
          </w:p>
        </w:tc>
        <w:tc>
          <w:tcPr>
            <w:tcW w:w="3969" w:type="dxa"/>
            <w:tcBorders>
              <w:top w:val="single" w:color="auto" w:sz="4" w:space="0"/>
              <w:left w:val="single" w:color="auto" w:sz="4" w:space="0"/>
              <w:bottom w:val="single" w:color="auto" w:sz="4" w:space="0"/>
            </w:tcBorders>
          </w:tcPr>
          <w:p w14:paraId="2776F89F">
            <w:pPr>
              <w:jc w:val="center"/>
              <w:rPr>
                <w:rFonts w:ascii="Times New Roman" w:hAnsi="Times New Roman" w:eastAsia="华文楷体"/>
              </w:rPr>
            </w:pPr>
          </w:p>
        </w:tc>
      </w:tr>
      <w:tr w14:paraId="7D3F81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bottom w:val="single" w:color="auto" w:sz="4" w:space="0"/>
              <w:right w:val="single" w:color="auto" w:sz="4" w:space="0"/>
            </w:tcBorders>
          </w:tcPr>
          <w:p w14:paraId="3EC2E35D">
            <w:pPr>
              <w:rPr>
                <w:rFonts w:ascii="Times New Roman" w:hAnsi="Times New Roman" w:eastAsia="华文楷体"/>
                <w:sz w:val="18"/>
              </w:rPr>
            </w:pPr>
            <w:r>
              <w:rPr>
                <w:rFonts w:ascii="Times New Roman" w:hAnsi="Times New Roman" w:eastAsia="华文楷体"/>
                <w:sz w:val="18"/>
              </w:rPr>
              <w:t>第2期</w:t>
            </w:r>
          </w:p>
        </w:tc>
        <w:tc>
          <w:tcPr>
            <w:tcW w:w="2552" w:type="dxa"/>
            <w:tcBorders>
              <w:top w:val="single" w:color="auto" w:sz="4" w:space="0"/>
              <w:left w:val="single" w:color="auto" w:sz="4" w:space="0"/>
              <w:bottom w:val="single" w:color="auto" w:sz="4" w:space="0"/>
              <w:right w:val="single" w:color="auto" w:sz="4" w:space="0"/>
            </w:tcBorders>
          </w:tcPr>
          <w:p w14:paraId="5599469E">
            <w:pPr>
              <w:jc w:val="center"/>
              <w:rPr>
                <w:rFonts w:ascii="Times New Roman" w:hAnsi="Times New Roman" w:eastAsia="华文楷体"/>
              </w:rPr>
            </w:pPr>
          </w:p>
        </w:tc>
        <w:tc>
          <w:tcPr>
            <w:tcW w:w="3969" w:type="dxa"/>
            <w:tcBorders>
              <w:top w:val="single" w:color="auto" w:sz="4" w:space="0"/>
              <w:left w:val="single" w:color="auto" w:sz="4" w:space="0"/>
              <w:bottom w:val="single" w:color="auto" w:sz="4" w:space="0"/>
            </w:tcBorders>
          </w:tcPr>
          <w:p w14:paraId="74370173">
            <w:pPr>
              <w:jc w:val="center"/>
              <w:rPr>
                <w:rFonts w:ascii="Times New Roman" w:hAnsi="Times New Roman" w:eastAsia="华文楷体"/>
              </w:rPr>
            </w:pPr>
          </w:p>
        </w:tc>
      </w:tr>
      <w:tr w14:paraId="077B1E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bottom w:val="single" w:color="auto" w:sz="4" w:space="0"/>
              <w:right w:val="single" w:color="auto" w:sz="4" w:space="0"/>
            </w:tcBorders>
          </w:tcPr>
          <w:p w14:paraId="08618F06">
            <w:pPr>
              <w:rPr>
                <w:rFonts w:ascii="Times New Roman" w:hAnsi="Times New Roman" w:eastAsia="华文楷体"/>
                <w:sz w:val="18"/>
              </w:rPr>
            </w:pPr>
            <w:r>
              <w:rPr>
                <w:rFonts w:ascii="Times New Roman" w:hAnsi="Times New Roman" w:eastAsia="华文楷体"/>
                <w:sz w:val="18"/>
              </w:rPr>
              <w:t>第3期</w:t>
            </w:r>
          </w:p>
        </w:tc>
        <w:tc>
          <w:tcPr>
            <w:tcW w:w="2552" w:type="dxa"/>
            <w:tcBorders>
              <w:top w:val="single" w:color="auto" w:sz="4" w:space="0"/>
              <w:left w:val="single" w:color="auto" w:sz="4" w:space="0"/>
              <w:bottom w:val="single" w:color="auto" w:sz="4" w:space="0"/>
              <w:right w:val="single" w:color="auto" w:sz="4" w:space="0"/>
            </w:tcBorders>
          </w:tcPr>
          <w:p w14:paraId="21B89ECA">
            <w:pPr>
              <w:jc w:val="center"/>
              <w:rPr>
                <w:rFonts w:ascii="Times New Roman" w:hAnsi="Times New Roman" w:eastAsia="华文楷体"/>
              </w:rPr>
            </w:pPr>
          </w:p>
        </w:tc>
        <w:tc>
          <w:tcPr>
            <w:tcW w:w="3969" w:type="dxa"/>
            <w:tcBorders>
              <w:top w:val="single" w:color="auto" w:sz="4" w:space="0"/>
              <w:left w:val="single" w:color="auto" w:sz="4" w:space="0"/>
              <w:bottom w:val="single" w:color="auto" w:sz="4" w:space="0"/>
            </w:tcBorders>
          </w:tcPr>
          <w:p w14:paraId="42B07B68">
            <w:pPr>
              <w:jc w:val="center"/>
              <w:rPr>
                <w:rFonts w:ascii="Times New Roman" w:hAnsi="Times New Roman" w:eastAsia="华文楷体"/>
              </w:rPr>
            </w:pPr>
          </w:p>
        </w:tc>
      </w:tr>
      <w:tr w14:paraId="3606EA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bottom w:val="single" w:color="auto" w:sz="4" w:space="0"/>
              <w:right w:val="single" w:color="auto" w:sz="4" w:space="0"/>
            </w:tcBorders>
          </w:tcPr>
          <w:p w14:paraId="19470BF4">
            <w:pPr>
              <w:rPr>
                <w:rFonts w:ascii="Times New Roman" w:hAnsi="Times New Roman" w:eastAsia="华文楷体"/>
                <w:sz w:val="18"/>
              </w:rPr>
            </w:pPr>
            <w:r>
              <w:rPr>
                <w:rFonts w:ascii="Times New Roman" w:hAnsi="Times New Roman" w:eastAsia="华文楷体"/>
                <w:sz w:val="18"/>
              </w:rPr>
              <w:t>第4期</w:t>
            </w:r>
          </w:p>
        </w:tc>
        <w:tc>
          <w:tcPr>
            <w:tcW w:w="2552" w:type="dxa"/>
            <w:tcBorders>
              <w:top w:val="single" w:color="auto" w:sz="4" w:space="0"/>
              <w:left w:val="single" w:color="auto" w:sz="4" w:space="0"/>
              <w:bottom w:val="single" w:color="auto" w:sz="4" w:space="0"/>
              <w:right w:val="single" w:color="auto" w:sz="4" w:space="0"/>
            </w:tcBorders>
          </w:tcPr>
          <w:p w14:paraId="55A25326">
            <w:pPr>
              <w:jc w:val="center"/>
              <w:rPr>
                <w:rFonts w:ascii="Times New Roman" w:hAnsi="Times New Roman" w:eastAsia="华文楷体"/>
              </w:rPr>
            </w:pPr>
          </w:p>
        </w:tc>
        <w:tc>
          <w:tcPr>
            <w:tcW w:w="3969" w:type="dxa"/>
            <w:tcBorders>
              <w:top w:val="single" w:color="auto" w:sz="4" w:space="0"/>
              <w:left w:val="single" w:color="auto" w:sz="4" w:space="0"/>
              <w:bottom w:val="single" w:color="auto" w:sz="4" w:space="0"/>
            </w:tcBorders>
          </w:tcPr>
          <w:p w14:paraId="4F5CCBE5">
            <w:pPr>
              <w:jc w:val="center"/>
              <w:rPr>
                <w:rFonts w:ascii="Times New Roman" w:hAnsi="Times New Roman" w:eastAsia="华文楷体"/>
              </w:rPr>
            </w:pPr>
          </w:p>
        </w:tc>
      </w:tr>
      <w:tr w14:paraId="092297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bottom w:val="single" w:color="auto" w:sz="4" w:space="0"/>
              <w:right w:val="single" w:color="auto" w:sz="4" w:space="0"/>
            </w:tcBorders>
          </w:tcPr>
          <w:p w14:paraId="424D0694">
            <w:pPr>
              <w:rPr>
                <w:rFonts w:ascii="Times New Roman" w:hAnsi="Times New Roman" w:eastAsia="华文楷体"/>
                <w:sz w:val="18"/>
              </w:rPr>
            </w:pPr>
            <w:r>
              <w:rPr>
                <w:rFonts w:ascii="Times New Roman" w:hAnsi="Times New Roman" w:eastAsia="华文楷体"/>
                <w:sz w:val="18"/>
              </w:rPr>
              <w:t>第5期</w:t>
            </w:r>
          </w:p>
        </w:tc>
        <w:tc>
          <w:tcPr>
            <w:tcW w:w="2552" w:type="dxa"/>
            <w:tcBorders>
              <w:top w:val="single" w:color="auto" w:sz="4" w:space="0"/>
              <w:left w:val="single" w:color="auto" w:sz="4" w:space="0"/>
              <w:bottom w:val="single" w:color="auto" w:sz="4" w:space="0"/>
              <w:right w:val="single" w:color="auto" w:sz="4" w:space="0"/>
            </w:tcBorders>
          </w:tcPr>
          <w:p w14:paraId="20023528">
            <w:pPr>
              <w:jc w:val="center"/>
              <w:rPr>
                <w:rFonts w:ascii="Times New Roman" w:hAnsi="Times New Roman" w:eastAsia="华文楷体"/>
              </w:rPr>
            </w:pPr>
          </w:p>
        </w:tc>
        <w:tc>
          <w:tcPr>
            <w:tcW w:w="3969" w:type="dxa"/>
            <w:tcBorders>
              <w:top w:val="single" w:color="auto" w:sz="4" w:space="0"/>
              <w:left w:val="single" w:color="auto" w:sz="4" w:space="0"/>
              <w:bottom w:val="single" w:color="auto" w:sz="4" w:space="0"/>
            </w:tcBorders>
          </w:tcPr>
          <w:p w14:paraId="0FBE0DC2">
            <w:pPr>
              <w:jc w:val="center"/>
              <w:rPr>
                <w:rFonts w:ascii="Times New Roman" w:hAnsi="Times New Roman" w:eastAsia="华文楷体"/>
              </w:rPr>
            </w:pPr>
          </w:p>
        </w:tc>
      </w:tr>
      <w:tr w14:paraId="12A2B3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bottom w:val="single" w:color="auto" w:sz="4" w:space="0"/>
              <w:right w:val="single" w:color="auto" w:sz="4" w:space="0"/>
            </w:tcBorders>
          </w:tcPr>
          <w:p w14:paraId="0F107E6A">
            <w:pPr>
              <w:rPr>
                <w:rFonts w:ascii="Times New Roman" w:hAnsi="Times New Roman" w:eastAsia="华文楷体"/>
                <w:sz w:val="18"/>
              </w:rPr>
            </w:pPr>
            <w:r>
              <w:rPr>
                <w:rFonts w:ascii="Times New Roman" w:hAnsi="Times New Roman" w:eastAsia="华文楷体"/>
                <w:sz w:val="18"/>
              </w:rPr>
              <w:t>第6期</w:t>
            </w:r>
          </w:p>
        </w:tc>
        <w:tc>
          <w:tcPr>
            <w:tcW w:w="2552" w:type="dxa"/>
            <w:tcBorders>
              <w:top w:val="single" w:color="auto" w:sz="4" w:space="0"/>
              <w:left w:val="single" w:color="auto" w:sz="4" w:space="0"/>
              <w:bottom w:val="single" w:color="auto" w:sz="4" w:space="0"/>
              <w:right w:val="single" w:color="auto" w:sz="4" w:space="0"/>
            </w:tcBorders>
          </w:tcPr>
          <w:p w14:paraId="06CE6308">
            <w:pPr>
              <w:jc w:val="center"/>
              <w:rPr>
                <w:rFonts w:ascii="Times New Roman" w:hAnsi="Times New Roman" w:eastAsia="华文楷体"/>
              </w:rPr>
            </w:pPr>
          </w:p>
        </w:tc>
        <w:tc>
          <w:tcPr>
            <w:tcW w:w="3969" w:type="dxa"/>
            <w:tcBorders>
              <w:top w:val="single" w:color="auto" w:sz="4" w:space="0"/>
              <w:left w:val="single" w:color="auto" w:sz="4" w:space="0"/>
              <w:bottom w:val="single" w:color="auto" w:sz="4" w:space="0"/>
            </w:tcBorders>
          </w:tcPr>
          <w:p w14:paraId="36B9D810">
            <w:pPr>
              <w:jc w:val="center"/>
              <w:rPr>
                <w:rFonts w:ascii="Times New Roman" w:hAnsi="Times New Roman" w:eastAsia="华文楷体"/>
              </w:rPr>
            </w:pPr>
          </w:p>
        </w:tc>
      </w:tr>
      <w:tr w14:paraId="4C4152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bottom w:val="single" w:color="auto" w:sz="4" w:space="0"/>
              <w:right w:val="single" w:color="auto" w:sz="4" w:space="0"/>
            </w:tcBorders>
          </w:tcPr>
          <w:p w14:paraId="06CB5A96">
            <w:pPr>
              <w:rPr>
                <w:rFonts w:ascii="Times New Roman" w:hAnsi="Times New Roman" w:eastAsia="华文楷体"/>
                <w:sz w:val="18"/>
              </w:rPr>
            </w:pPr>
            <w:r>
              <w:rPr>
                <w:rFonts w:ascii="Times New Roman" w:hAnsi="Times New Roman" w:eastAsia="华文楷体"/>
                <w:sz w:val="18"/>
              </w:rPr>
              <w:t>第7期</w:t>
            </w:r>
          </w:p>
        </w:tc>
        <w:tc>
          <w:tcPr>
            <w:tcW w:w="2552" w:type="dxa"/>
            <w:tcBorders>
              <w:top w:val="single" w:color="auto" w:sz="4" w:space="0"/>
              <w:left w:val="single" w:color="auto" w:sz="4" w:space="0"/>
              <w:bottom w:val="single" w:color="auto" w:sz="4" w:space="0"/>
              <w:right w:val="single" w:color="auto" w:sz="4" w:space="0"/>
            </w:tcBorders>
          </w:tcPr>
          <w:p w14:paraId="425EE01E">
            <w:pPr>
              <w:jc w:val="center"/>
              <w:rPr>
                <w:rFonts w:ascii="Times New Roman" w:hAnsi="Times New Roman" w:eastAsia="华文楷体"/>
              </w:rPr>
            </w:pPr>
          </w:p>
        </w:tc>
        <w:tc>
          <w:tcPr>
            <w:tcW w:w="3969" w:type="dxa"/>
            <w:tcBorders>
              <w:top w:val="single" w:color="auto" w:sz="4" w:space="0"/>
              <w:left w:val="single" w:color="auto" w:sz="4" w:space="0"/>
              <w:bottom w:val="single" w:color="auto" w:sz="4" w:space="0"/>
            </w:tcBorders>
          </w:tcPr>
          <w:p w14:paraId="4CC8BE82">
            <w:pPr>
              <w:jc w:val="center"/>
              <w:rPr>
                <w:rFonts w:ascii="Times New Roman" w:hAnsi="Times New Roman" w:eastAsia="华文楷体"/>
              </w:rPr>
            </w:pPr>
          </w:p>
        </w:tc>
      </w:tr>
    </w:tbl>
    <w:p w14:paraId="0101FBDB">
      <w:pPr>
        <w:rPr>
          <w:rFonts w:ascii="Times New Roman" w:hAnsi="Times New Roman" w:eastAsia="华文楷体"/>
          <w:sz w:val="18"/>
          <w:szCs w:val="18"/>
        </w:rPr>
      </w:pPr>
    </w:p>
    <w:p w14:paraId="44279EE8">
      <w:pPr>
        <w:rPr>
          <w:rFonts w:ascii="Times New Roman" w:hAnsi="Times New Roman" w:eastAsia="华文楷体"/>
        </w:rPr>
      </w:pPr>
      <w:r>
        <w:rPr>
          <w:rFonts w:ascii="Times New Roman" w:hAnsi="Times New Roman" w:eastAsia="华文楷体"/>
        </w:rPr>
        <w:br w:type="page"/>
      </w:r>
    </w:p>
    <w:tbl>
      <w:tblPr>
        <w:tblStyle w:val="30"/>
        <w:tblW w:w="847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51"/>
        <w:gridCol w:w="1559"/>
        <w:gridCol w:w="1701"/>
        <w:gridCol w:w="1418"/>
        <w:gridCol w:w="1843"/>
      </w:tblGrid>
      <w:tr w14:paraId="5EAD3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5"/>
            <w:tcBorders>
              <w:bottom w:val="single" w:color="auto" w:sz="4" w:space="0"/>
            </w:tcBorders>
          </w:tcPr>
          <w:p w14:paraId="3F07F36A">
            <w:pPr>
              <w:jc w:val="center"/>
              <w:rPr>
                <w:rFonts w:ascii="Times New Roman" w:hAnsi="Times New Roman" w:eastAsia="华文楷体"/>
                <w:b/>
                <w:sz w:val="28"/>
              </w:rPr>
            </w:pPr>
            <w:r>
              <w:rPr>
                <w:rFonts w:ascii="Times New Roman" w:hAnsi="Times New Roman" w:eastAsia="华文楷体"/>
                <w:b/>
                <w:sz w:val="28"/>
              </w:rPr>
              <w:t>【信托名称】</w:t>
            </w:r>
          </w:p>
          <w:p w14:paraId="2F11F33D">
            <w:pPr>
              <w:jc w:val="center"/>
              <w:rPr>
                <w:rFonts w:ascii="Times New Roman" w:hAnsi="Times New Roman" w:eastAsia="华文楷体"/>
                <w:b/>
              </w:rPr>
            </w:pPr>
            <w:r>
              <w:rPr>
                <w:rFonts w:ascii="Times New Roman" w:hAnsi="Times New Roman" w:eastAsia="华文楷体"/>
                <w:b/>
                <w:sz w:val="28"/>
              </w:rPr>
              <w:t>受托机构月度/年度报告</w:t>
            </w:r>
          </w:p>
        </w:tc>
      </w:tr>
      <w:tr w14:paraId="3D1A39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5"/>
            <w:tcBorders>
              <w:top w:val="single" w:color="auto" w:sz="4" w:space="0"/>
              <w:bottom w:val="single" w:color="auto" w:sz="4" w:space="0"/>
            </w:tcBorders>
          </w:tcPr>
          <w:p w14:paraId="36B5F443">
            <w:pPr>
              <w:rPr>
                <w:rFonts w:ascii="Times New Roman" w:hAnsi="Times New Roman" w:eastAsia="华文楷体"/>
                <w:b/>
              </w:rPr>
            </w:pPr>
            <w:r>
              <w:rPr>
                <w:rFonts w:ascii="Times New Roman" w:hAnsi="Times New Roman" w:eastAsia="华文楷体"/>
                <w:b/>
              </w:rPr>
              <w:t>三、资产池情况</w:t>
            </w:r>
          </w:p>
          <w:p w14:paraId="7D6878BD">
            <w:pPr>
              <w:rPr>
                <w:rFonts w:ascii="Times New Roman" w:hAnsi="Times New Roman" w:eastAsia="华文楷体"/>
                <w:b/>
              </w:rPr>
            </w:pPr>
            <w:r>
              <w:rPr>
                <w:rFonts w:ascii="Times New Roman" w:hAnsi="Times New Roman" w:eastAsia="华文楷体"/>
                <w:b/>
              </w:rPr>
              <w:t>（五）资产池现金流归集表</w:t>
            </w:r>
          </w:p>
          <w:p w14:paraId="2BECF907">
            <w:pPr>
              <w:rPr>
                <w:rFonts w:ascii="Times New Roman" w:hAnsi="Times New Roman" w:eastAsia="华文楷体"/>
              </w:rPr>
            </w:pPr>
            <w:r>
              <w:rPr>
                <w:rFonts w:ascii="Times New Roman" w:hAnsi="Times New Roman" w:eastAsia="楷体_GB2312"/>
              </w:rPr>
              <w:t>（正常情景下，指按摊还计划对每个收款期间现金流进行归集，不考虑早偿、拖欠、违约、回收等情况。若在此报告时点已经发生的早偿贷款则应该从现金流摊还计划表中剔除）</w:t>
            </w:r>
          </w:p>
        </w:tc>
      </w:tr>
      <w:tr w14:paraId="4EEC4F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bottom w:val="single" w:color="auto" w:sz="4" w:space="0"/>
              <w:right w:val="single" w:color="auto" w:sz="4" w:space="0"/>
            </w:tcBorders>
          </w:tcPr>
          <w:p w14:paraId="321D4ABB">
            <w:pPr>
              <w:rPr>
                <w:rFonts w:ascii="Times New Roman" w:hAnsi="Times New Roman" w:eastAsia="华文楷体"/>
                <w:b/>
                <w:sz w:val="18"/>
                <w:szCs w:val="18"/>
              </w:rPr>
            </w:pPr>
            <w:r>
              <w:rPr>
                <w:rFonts w:ascii="Times New Roman" w:hAnsi="Times New Roman" w:eastAsia="华文楷体"/>
                <w:b/>
                <w:sz w:val="18"/>
                <w:szCs w:val="18"/>
              </w:rPr>
              <w:t>计算日（收款期间期末日期）</w:t>
            </w:r>
          </w:p>
        </w:tc>
        <w:tc>
          <w:tcPr>
            <w:tcW w:w="1559" w:type="dxa"/>
            <w:tcBorders>
              <w:top w:val="single" w:color="auto" w:sz="4" w:space="0"/>
              <w:left w:val="single" w:color="auto" w:sz="4" w:space="0"/>
              <w:bottom w:val="single" w:color="auto" w:sz="4" w:space="0"/>
              <w:right w:val="single" w:color="auto" w:sz="4" w:space="0"/>
            </w:tcBorders>
          </w:tcPr>
          <w:p w14:paraId="28C8B03E">
            <w:pPr>
              <w:rPr>
                <w:rFonts w:ascii="Times New Roman" w:hAnsi="Times New Roman" w:eastAsia="华文楷体"/>
                <w:b/>
                <w:sz w:val="18"/>
                <w:szCs w:val="18"/>
              </w:rPr>
            </w:pPr>
            <w:r>
              <w:rPr>
                <w:rFonts w:ascii="Times New Roman" w:hAnsi="Times New Roman" w:eastAsia="华文楷体"/>
                <w:b/>
                <w:sz w:val="18"/>
                <w:szCs w:val="18"/>
              </w:rPr>
              <w:t>期初本金总余额</w:t>
            </w:r>
          </w:p>
        </w:tc>
        <w:tc>
          <w:tcPr>
            <w:tcW w:w="1701" w:type="dxa"/>
            <w:tcBorders>
              <w:top w:val="single" w:color="auto" w:sz="4" w:space="0"/>
              <w:left w:val="single" w:color="auto" w:sz="4" w:space="0"/>
              <w:bottom w:val="single" w:color="auto" w:sz="4" w:space="0"/>
              <w:right w:val="single" w:color="auto" w:sz="4" w:space="0"/>
            </w:tcBorders>
          </w:tcPr>
          <w:p w14:paraId="361DF8DD">
            <w:pPr>
              <w:rPr>
                <w:rFonts w:ascii="Times New Roman" w:hAnsi="Times New Roman" w:eastAsia="华文楷体"/>
                <w:b/>
                <w:sz w:val="18"/>
                <w:szCs w:val="18"/>
              </w:rPr>
            </w:pPr>
            <w:r>
              <w:rPr>
                <w:rFonts w:ascii="Times New Roman" w:hAnsi="Times New Roman" w:eastAsia="华文楷体"/>
                <w:b/>
                <w:sz w:val="18"/>
                <w:szCs w:val="18"/>
              </w:rPr>
              <w:t>本期应收本金</w:t>
            </w:r>
          </w:p>
        </w:tc>
        <w:tc>
          <w:tcPr>
            <w:tcW w:w="1418" w:type="dxa"/>
            <w:tcBorders>
              <w:top w:val="single" w:color="auto" w:sz="4" w:space="0"/>
              <w:left w:val="single" w:color="auto" w:sz="4" w:space="0"/>
              <w:bottom w:val="single" w:color="auto" w:sz="4" w:space="0"/>
              <w:right w:val="single" w:color="auto" w:sz="4" w:space="0"/>
            </w:tcBorders>
          </w:tcPr>
          <w:p w14:paraId="36E114EC">
            <w:pPr>
              <w:rPr>
                <w:rFonts w:ascii="Times New Roman" w:hAnsi="Times New Roman" w:eastAsia="华文楷体"/>
                <w:b/>
                <w:sz w:val="18"/>
                <w:szCs w:val="18"/>
              </w:rPr>
            </w:pPr>
            <w:r>
              <w:rPr>
                <w:rFonts w:ascii="Times New Roman" w:hAnsi="Times New Roman" w:eastAsia="华文楷体"/>
                <w:b/>
                <w:sz w:val="18"/>
                <w:szCs w:val="18"/>
              </w:rPr>
              <w:t>本期应收手续费</w:t>
            </w:r>
          </w:p>
        </w:tc>
        <w:tc>
          <w:tcPr>
            <w:tcW w:w="1843" w:type="dxa"/>
            <w:tcBorders>
              <w:top w:val="single" w:color="auto" w:sz="4" w:space="0"/>
              <w:left w:val="single" w:color="auto" w:sz="4" w:space="0"/>
              <w:bottom w:val="single" w:color="auto" w:sz="4" w:space="0"/>
            </w:tcBorders>
          </w:tcPr>
          <w:p w14:paraId="73EC6504">
            <w:pPr>
              <w:rPr>
                <w:rFonts w:ascii="Times New Roman" w:hAnsi="Times New Roman" w:eastAsia="华文楷体"/>
                <w:b/>
                <w:sz w:val="18"/>
                <w:szCs w:val="18"/>
              </w:rPr>
            </w:pPr>
            <w:r>
              <w:rPr>
                <w:rFonts w:ascii="Times New Roman" w:hAnsi="Times New Roman" w:eastAsia="华文楷体"/>
                <w:b/>
                <w:sz w:val="18"/>
                <w:szCs w:val="18"/>
              </w:rPr>
              <w:t>期末本金总余额</w:t>
            </w:r>
          </w:p>
        </w:tc>
      </w:tr>
      <w:tr w14:paraId="31F09E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bottom w:val="single" w:color="auto" w:sz="4" w:space="0"/>
              <w:right w:val="single" w:color="auto" w:sz="4" w:space="0"/>
            </w:tcBorders>
          </w:tcPr>
          <w:p w14:paraId="5A9F9947">
            <w:pPr>
              <w:rPr>
                <w:rFonts w:ascii="Times New Roman" w:hAnsi="Times New Roman" w:eastAsia="华文楷体"/>
                <w:sz w:val="18"/>
                <w:szCs w:val="18"/>
              </w:rPr>
            </w:pPr>
          </w:p>
        </w:tc>
        <w:tc>
          <w:tcPr>
            <w:tcW w:w="1559" w:type="dxa"/>
            <w:tcBorders>
              <w:top w:val="single" w:color="auto" w:sz="4" w:space="0"/>
              <w:left w:val="single" w:color="auto" w:sz="4" w:space="0"/>
              <w:bottom w:val="single" w:color="auto" w:sz="4" w:space="0"/>
              <w:right w:val="single" w:color="auto" w:sz="4" w:space="0"/>
            </w:tcBorders>
          </w:tcPr>
          <w:p w14:paraId="37C8104F">
            <w:pPr>
              <w:rPr>
                <w:rFonts w:ascii="Times New Roman" w:hAnsi="Times New Roman" w:eastAsia="华文楷体"/>
                <w:sz w:val="18"/>
                <w:szCs w:val="18"/>
              </w:rPr>
            </w:pPr>
          </w:p>
        </w:tc>
        <w:tc>
          <w:tcPr>
            <w:tcW w:w="1701" w:type="dxa"/>
            <w:tcBorders>
              <w:top w:val="single" w:color="auto" w:sz="4" w:space="0"/>
              <w:left w:val="single" w:color="auto" w:sz="4" w:space="0"/>
              <w:bottom w:val="single" w:color="auto" w:sz="4" w:space="0"/>
              <w:right w:val="single" w:color="auto" w:sz="4" w:space="0"/>
            </w:tcBorders>
          </w:tcPr>
          <w:p w14:paraId="11268689">
            <w:pPr>
              <w:rPr>
                <w:rFonts w:ascii="Times New Roman" w:hAnsi="Times New Roman" w:eastAsia="华文楷体"/>
                <w:sz w:val="18"/>
                <w:szCs w:val="18"/>
              </w:rPr>
            </w:pPr>
          </w:p>
        </w:tc>
        <w:tc>
          <w:tcPr>
            <w:tcW w:w="1418" w:type="dxa"/>
            <w:tcBorders>
              <w:top w:val="single" w:color="auto" w:sz="4" w:space="0"/>
              <w:left w:val="single" w:color="auto" w:sz="4" w:space="0"/>
              <w:bottom w:val="single" w:color="auto" w:sz="4" w:space="0"/>
              <w:right w:val="single" w:color="auto" w:sz="4" w:space="0"/>
            </w:tcBorders>
          </w:tcPr>
          <w:p w14:paraId="0E03F576">
            <w:pPr>
              <w:rPr>
                <w:rFonts w:ascii="Times New Roman" w:hAnsi="Times New Roman" w:eastAsia="华文楷体"/>
                <w:sz w:val="18"/>
                <w:szCs w:val="18"/>
              </w:rPr>
            </w:pPr>
          </w:p>
        </w:tc>
        <w:tc>
          <w:tcPr>
            <w:tcW w:w="1843" w:type="dxa"/>
            <w:tcBorders>
              <w:top w:val="single" w:color="auto" w:sz="4" w:space="0"/>
              <w:left w:val="single" w:color="auto" w:sz="4" w:space="0"/>
              <w:bottom w:val="single" w:color="auto" w:sz="4" w:space="0"/>
            </w:tcBorders>
          </w:tcPr>
          <w:p w14:paraId="48EC727A">
            <w:pPr>
              <w:rPr>
                <w:rFonts w:ascii="Times New Roman" w:hAnsi="Times New Roman" w:eastAsia="华文楷体"/>
                <w:sz w:val="18"/>
                <w:szCs w:val="18"/>
              </w:rPr>
            </w:pPr>
          </w:p>
        </w:tc>
      </w:tr>
      <w:tr w14:paraId="4CF38E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bottom w:val="single" w:color="auto" w:sz="4" w:space="0"/>
              <w:right w:val="single" w:color="auto" w:sz="4" w:space="0"/>
            </w:tcBorders>
          </w:tcPr>
          <w:p w14:paraId="76FE12E1">
            <w:pPr>
              <w:rPr>
                <w:rFonts w:ascii="Times New Roman" w:hAnsi="Times New Roman" w:eastAsia="华文楷体"/>
                <w:sz w:val="18"/>
                <w:szCs w:val="18"/>
              </w:rPr>
            </w:pPr>
          </w:p>
        </w:tc>
        <w:tc>
          <w:tcPr>
            <w:tcW w:w="1559" w:type="dxa"/>
            <w:tcBorders>
              <w:top w:val="single" w:color="auto" w:sz="4" w:space="0"/>
              <w:left w:val="single" w:color="auto" w:sz="4" w:space="0"/>
              <w:bottom w:val="single" w:color="auto" w:sz="4" w:space="0"/>
              <w:right w:val="single" w:color="auto" w:sz="4" w:space="0"/>
            </w:tcBorders>
          </w:tcPr>
          <w:p w14:paraId="0C273548">
            <w:pPr>
              <w:rPr>
                <w:rFonts w:ascii="Times New Roman" w:hAnsi="Times New Roman" w:eastAsia="华文楷体"/>
                <w:sz w:val="18"/>
                <w:szCs w:val="18"/>
              </w:rPr>
            </w:pPr>
          </w:p>
        </w:tc>
        <w:tc>
          <w:tcPr>
            <w:tcW w:w="1701" w:type="dxa"/>
            <w:tcBorders>
              <w:top w:val="single" w:color="auto" w:sz="4" w:space="0"/>
              <w:left w:val="single" w:color="auto" w:sz="4" w:space="0"/>
              <w:bottom w:val="single" w:color="auto" w:sz="4" w:space="0"/>
              <w:right w:val="single" w:color="auto" w:sz="4" w:space="0"/>
            </w:tcBorders>
          </w:tcPr>
          <w:p w14:paraId="5733C23A">
            <w:pPr>
              <w:rPr>
                <w:rFonts w:ascii="Times New Roman" w:hAnsi="Times New Roman" w:eastAsia="华文楷体"/>
                <w:sz w:val="18"/>
                <w:szCs w:val="18"/>
              </w:rPr>
            </w:pPr>
          </w:p>
        </w:tc>
        <w:tc>
          <w:tcPr>
            <w:tcW w:w="1418" w:type="dxa"/>
            <w:tcBorders>
              <w:top w:val="single" w:color="auto" w:sz="4" w:space="0"/>
              <w:left w:val="single" w:color="auto" w:sz="4" w:space="0"/>
              <w:bottom w:val="single" w:color="auto" w:sz="4" w:space="0"/>
              <w:right w:val="single" w:color="auto" w:sz="4" w:space="0"/>
            </w:tcBorders>
          </w:tcPr>
          <w:p w14:paraId="77AF1850">
            <w:pPr>
              <w:rPr>
                <w:rFonts w:ascii="Times New Roman" w:hAnsi="Times New Roman" w:eastAsia="华文楷体"/>
                <w:sz w:val="18"/>
                <w:szCs w:val="18"/>
              </w:rPr>
            </w:pPr>
          </w:p>
        </w:tc>
        <w:tc>
          <w:tcPr>
            <w:tcW w:w="1843" w:type="dxa"/>
            <w:tcBorders>
              <w:top w:val="single" w:color="auto" w:sz="4" w:space="0"/>
              <w:left w:val="single" w:color="auto" w:sz="4" w:space="0"/>
              <w:bottom w:val="single" w:color="auto" w:sz="4" w:space="0"/>
            </w:tcBorders>
          </w:tcPr>
          <w:p w14:paraId="1344AED3">
            <w:pPr>
              <w:rPr>
                <w:rFonts w:ascii="Times New Roman" w:hAnsi="Times New Roman" w:eastAsia="华文楷体"/>
                <w:sz w:val="18"/>
                <w:szCs w:val="18"/>
              </w:rPr>
            </w:pPr>
          </w:p>
        </w:tc>
      </w:tr>
      <w:tr w14:paraId="6C5690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bottom w:val="single" w:color="auto" w:sz="4" w:space="0"/>
              <w:right w:val="single" w:color="auto" w:sz="4" w:space="0"/>
            </w:tcBorders>
          </w:tcPr>
          <w:p w14:paraId="36B1608A">
            <w:pPr>
              <w:rPr>
                <w:rFonts w:ascii="Times New Roman" w:hAnsi="Times New Roman" w:eastAsia="华文楷体"/>
                <w:sz w:val="18"/>
                <w:szCs w:val="18"/>
              </w:rPr>
            </w:pPr>
          </w:p>
        </w:tc>
        <w:tc>
          <w:tcPr>
            <w:tcW w:w="1559" w:type="dxa"/>
            <w:tcBorders>
              <w:top w:val="single" w:color="auto" w:sz="4" w:space="0"/>
              <w:left w:val="single" w:color="auto" w:sz="4" w:space="0"/>
              <w:bottom w:val="single" w:color="auto" w:sz="4" w:space="0"/>
              <w:right w:val="single" w:color="auto" w:sz="4" w:space="0"/>
            </w:tcBorders>
          </w:tcPr>
          <w:p w14:paraId="4DD15E61">
            <w:pPr>
              <w:rPr>
                <w:rFonts w:ascii="Times New Roman" w:hAnsi="Times New Roman" w:eastAsia="华文楷体"/>
                <w:sz w:val="18"/>
                <w:szCs w:val="18"/>
              </w:rPr>
            </w:pPr>
          </w:p>
        </w:tc>
        <w:tc>
          <w:tcPr>
            <w:tcW w:w="1701" w:type="dxa"/>
            <w:tcBorders>
              <w:top w:val="single" w:color="auto" w:sz="4" w:space="0"/>
              <w:left w:val="single" w:color="auto" w:sz="4" w:space="0"/>
              <w:bottom w:val="single" w:color="auto" w:sz="4" w:space="0"/>
              <w:right w:val="single" w:color="auto" w:sz="4" w:space="0"/>
            </w:tcBorders>
          </w:tcPr>
          <w:p w14:paraId="741E9DAE">
            <w:pPr>
              <w:rPr>
                <w:rFonts w:ascii="Times New Roman" w:hAnsi="Times New Roman" w:eastAsia="华文楷体"/>
                <w:sz w:val="18"/>
                <w:szCs w:val="18"/>
              </w:rPr>
            </w:pPr>
          </w:p>
        </w:tc>
        <w:tc>
          <w:tcPr>
            <w:tcW w:w="1418" w:type="dxa"/>
            <w:tcBorders>
              <w:top w:val="single" w:color="auto" w:sz="4" w:space="0"/>
              <w:left w:val="single" w:color="auto" w:sz="4" w:space="0"/>
              <w:bottom w:val="single" w:color="auto" w:sz="4" w:space="0"/>
              <w:right w:val="single" w:color="auto" w:sz="4" w:space="0"/>
            </w:tcBorders>
          </w:tcPr>
          <w:p w14:paraId="5594125F">
            <w:pPr>
              <w:rPr>
                <w:rFonts w:ascii="Times New Roman" w:hAnsi="Times New Roman" w:eastAsia="华文楷体"/>
                <w:sz w:val="18"/>
                <w:szCs w:val="18"/>
              </w:rPr>
            </w:pPr>
          </w:p>
        </w:tc>
        <w:tc>
          <w:tcPr>
            <w:tcW w:w="1843" w:type="dxa"/>
            <w:tcBorders>
              <w:top w:val="single" w:color="auto" w:sz="4" w:space="0"/>
              <w:left w:val="single" w:color="auto" w:sz="4" w:space="0"/>
              <w:bottom w:val="single" w:color="auto" w:sz="4" w:space="0"/>
            </w:tcBorders>
          </w:tcPr>
          <w:p w14:paraId="2C91B196">
            <w:pPr>
              <w:rPr>
                <w:rFonts w:ascii="Times New Roman" w:hAnsi="Times New Roman" w:eastAsia="华文楷体"/>
                <w:sz w:val="18"/>
                <w:szCs w:val="18"/>
              </w:rPr>
            </w:pPr>
          </w:p>
        </w:tc>
      </w:tr>
      <w:tr w14:paraId="00144E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bottom w:val="single" w:color="auto" w:sz="4" w:space="0"/>
              <w:right w:val="single" w:color="auto" w:sz="4" w:space="0"/>
            </w:tcBorders>
          </w:tcPr>
          <w:p w14:paraId="4FF70864">
            <w:pPr>
              <w:rPr>
                <w:rFonts w:ascii="Times New Roman" w:hAnsi="Times New Roman" w:eastAsia="华文楷体"/>
                <w:sz w:val="18"/>
                <w:szCs w:val="18"/>
              </w:rPr>
            </w:pPr>
          </w:p>
        </w:tc>
        <w:tc>
          <w:tcPr>
            <w:tcW w:w="1559" w:type="dxa"/>
            <w:tcBorders>
              <w:top w:val="single" w:color="auto" w:sz="4" w:space="0"/>
              <w:left w:val="single" w:color="auto" w:sz="4" w:space="0"/>
              <w:bottom w:val="single" w:color="auto" w:sz="4" w:space="0"/>
              <w:right w:val="single" w:color="auto" w:sz="4" w:space="0"/>
            </w:tcBorders>
          </w:tcPr>
          <w:p w14:paraId="5309BC11">
            <w:pPr>
              <w:rPr>
                <w:rFonts w:ascii="Times New Roman" w:hAnsi="Times New Roman" w:eastAsia="华文楷体"/>
                <w:sz w:val="18"/>
                <w:szCs w:val="18"/>
              </w:rPr>
            </w:pPr>
          </w:p>
        </w:tc>
        <w:tc>
          <w:tcPr>
            <w:tcW w:w="1701" w:type="dxa"/>
            <w:tcBorders>
              <w:top w:val="single" w:color="auto" w:sz="4" w:space="0"/>
              <w:left w:val="single" w:color="auto" w:sz="4" w:space="0"/>
              <w:bottom w:val="single" w:color="auto" w:sz="4" w:space="0"/>
              <w:right w:val="single" w:color="auto" w:sz="4" w:space="0"/>
            </w:tcBorders>
          </w:tcPr>
          <w:p w14:paraId="3780CCEA">
            <w:pPr>
              <w:rPr>
                <w:rFonts w:ascii="Times New Roman" w:hAnsi="Times New Roman" w:eastAsia="华文楷体"/>
                <w:sz w:val="18"/>
                <w:szCs w:val="18"/>
              </w:rPr>
            </w:pPr>
          </w:p>
        </w:tc>
        <w:tc>
          <w:tcPr>
            <w:tcW w:w="1418" w:type="dxa"/>
            <w:tcBorders>
              <w:top w:val="single" w:color="auto" w:sz="4" w:space="0"/>
              <w:left w:val="single" w:color="auto" w:sz="4" w:space="0"/>
              <w:bottom w:val="single" w:color="auto" w:sz="4" w:space="0"/>
              <w:right w:val="single" w:color="auto" w:sz="4" w:space="0"/>
            </w:tcBorders>
          </w:tcPr>
          <w:p w14:paraId="634206B2">
            <w:pPr>
              <w:rPr>
                <w:rFonts w:ascii="Times New Roman" w:hAnsi="Times New Roman" w:eastAsia="华文楷体"/>
                <w:sz w:val="18"/>
                <w:szCs w:val="18"/>
              </w:rPr>
            </w:pPr>
          </w:p>
        </w:tc>
        <w:tc>
          <w:tcPr>
            <w:tcW w:w="1843" w:type="dxa"/>
            <w:tcBorders>
              <w:top w:val="single" w:color="auto" w:sz="4" w:space="0"/>
              <w:left w:val="single" w:color="auto" w:sz="4" w:space="0"/>
              <w:bottom w:val="single" w:color="auto" w:sz="4" w:space="0"/>
            </w:tcBorders>
          </w:tcPr>
          <w:p w14:paraId="7707C4C2">
            <w:pPr>
              <w:rPr>
                <w:rFonts w:ascii="Times New Roman" w:hAnsi="Times New Roman" w:eastAsia="华文楷体"/>
                <w:sz w:val="18"/>
                <w:szCs w:val="18"/>
              </w:rPr>
            </w:pPr>
          </w:p>
        </w:tc>
      </w:tr>
      <w:tr w14:paraId="28B6A7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bottom w:val="single" w:color="auto" w:sz="4" w:space="0"/>
              <w:right w:val="single" w:color="auto" w:sz="4" w:space="0"/>
            </w:tcBorders>
          </w:tcPr>
          <w:p w14:paraId="26134582">
            <w:pPr>
              <w:rPr>
                <w:rFonts w:ascii="Times New Roman" w:hAnsi="Times New Roman" w:eastAsia="华文楷体"/>
                <w:sz w:val="18"/>
                <w:szCs w:val="18"/>
              </w:rPr>
            </w:pPr>
          </w:p>
        </w:tc>
        <w:tc>
          <w:tcPr>
            <w:tcW w:w="1559" w:type="dxa"/>
            <w:tcBorders>
              <w:top w:val="single" w:color="auto" w:sz="4" w:space="0"/>
              <w:left w:val="single" w:color="auto" w:sz="4" w:space="0"/>
              <w:bottom w:val="single" w:color="auto" w:sz="4" w:space="0"/>
              <w:right w:val="single" w:color="auto" w:sz="4" w:space="0"/>
            </w:tcBorders>
          </w:tcPr>
          <w:p w14:paraId="4C5E65FE">
            <w:pPr>
              <w:rPr>
                <w:rFonts w:ascii="Times New Roman" w:hAnsi="Times New Roman" w:eastAsia="华文楷体"/>
                <w:sz w:val="18"/>
                <w:szCs w:val="18"/>
              </w:rPr>
            </w:pPr>
          </w:p>
        </w:tc>
        <w:tc>
          <w:tcPr>
            <w:tcW w:w="1701" w:type="dxa"/>
            <w:tcBorders>
              <w:top w:val="single" w:color="auto" w:sz="4" w:space="0"/>
              <w:left w:val="single" w:color="auto" w:sz="4" w:space="0"/>
              <w:bottom w:val="single" w:color="auto" w:sz="4" w:space="0"/>
              <w:right w:val="single" w:color="auto" w:sz="4" w:space="0"/>
            </w:tcBorders>
          </w:tcPr>
          <w:p w14:paraId="5C7B999D">
            <w:pPr>
              <w:rPr>
                <w:rFonts w:ascii="Times New Roman" w:hAnsi="Times New Roman" w:eastAsia="华文楷体"/>
                <w:sz w:val="18"/>
                <w:szCs w:val="18"/>
              </w:rPr>
            </w:pPr>
          </w:p>
        </w:tc>
        <w:tc>
          <w:tcPr>
            <w:tcW w:w="1418" w:type="dxa"/>
            <w:tcBorders>
              <w:top w:val="single" w:color="auto" w:sz="4" w:space="0"/>
              <w:left w:val="single" w:color="auto" w:sz="4" w:space="0"/>
              <w:bottom w:val="single" w:color="auto" w:sz="4" w:space="0"/>
              <w:right w:val="single" w:color="auto" w:sz="4" w:space="0"/>
            </w:tcBorders>
          </w:tcPr>
          <w:p w14:paraId="0CC0FBCC">
            <w:pPr>
              <w:rPr>
                <w:rFonts w:ascii="Times New Roman" w:hAnsi="Times New Roman" w:eastAsia="华文楷体"/>
                <w:sz w:val="18"/>
                <w:szCs w:val="18"/>
              </w:rPr>
            </w:pPr>
          </w:p>
        </w:tc>
        <w:tc>
          <w:tcPr>
            <w:tcW w:w="1843" w:type="dxa"/>
            <w:tcBorders>
              <w:top w:val="single" w:color="auto" w:sz="4" w:space="0"/>
              <w:left w:val="single" w:color="auto" w:sz="4" w:space="0"/>
              <w:bottom w:val="single" w:color="auto" w:sz="4" w:space="0"/>
            </w:tcBorders>
          </w:tcPr>
          <w:p w14:paraId="628879D4">
            <w:pPr>
              <w:rPr>
                <w:rFonts w:ascii="Times New Roman" w:hAnsi="Times New Roman" w:eastAsia="华文楷体"/>
                <w:sz w:val="18"/>
                <w:szCs w:val="18"/>
              </w:rPr>
            </w:pPr>
          </w:p>
        </w:tc>
      </w:tr>
    </w:tbl>
    <w:p w14:paraId="0235C8FF">
      <w:pPr>
        <w:rPr>
          <w:rFonts w:ascii="Times New Roman" w:hAnsi="Times New Roman" w:eastAsia="华文楷体"/>
        </w:rPr>
      </w:pPr>
    </w:p>
    <w:p w14:paraId="646CA0B9">
      <w:pPr>
        <w:rPr>
          <w:rFonts w:ascii="Times New Roman" w:hAnsi="Times New Roman" w:eastAsia="华文楷体"/>
        </w:rPr>
      </w:pPr>
      <w:r>
        <w:rPr>
          <w:rFonts w:ascii="Times New Roman" w:hAnsi="Times New Roman" w:eastAsia="华文楷体"/>
        </w:rPr>
        <w:br w:type="page"/>
      </w:r>
    </w:p>
    <w:tbl>
      <w:tblPr>
        <w:tblStyle w:val="30"/>
        <w:tblW w:w="869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014"/>
        <w:gridCol w:w="1738"/>
        <w:gridCol w:w="2463"/>
        <w:gridCol w:w="2608"/>
      </w:tblGrid>
      <w:tr w14:paraId="6EED4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8692" w:type="dxa"/>
            <w:gridSpan w:val="5"/>
            <w:tcBorders>
              <w:bottom w:val="single" w:color="auto" w:sz="4" w:space="0"/>
            </w:tcBorders>
          </w:tcPr>
          <w:p w14:paraId="365EBAFE">
            <w:pPr>
              <w:widowControl/>
              <w:ind w:left="-817" w:leftChars="-389" w:firstLine="953" w:firstLineChars="340"/>
              <w:jc w:val="center"/>
              <w:rPr>
                <w:rFonts w:ascii="Times New Roman" w:hAnsi="Times New Roman" w:eastAsia="华文楷体"/>
                <w:b/>
                <w:sz w:val="28"/>
              </w:rPr>
            </w:pPr>
            <w:r>
              <w:rPr>
                <w:rFonts w:ascii="Times New Roman" w:hAnsi="Times New Roman" w:eastAsia="华文楷体"/>
                <w:b/>
                <w:sz w:val="28"/>
              </w:rPr>
              <w:t>【信托名称】</w:t>
            </w:r>
          </w:p>
          <w:p w14:paraId="6B386E53">
            <w:pPr>
              <w:widowControl/>
              <w:ind w:left="-817" w:leftChars="-389" w:firstLine="953" w:firstLineChars="340"/>
              <w:jc w:val="center"/>
              <w:rPr>
                <w:rFonts w:ascii="Times New Roman" w:hAnsi="Times New Roman" w:eastAsia="华文楷体"/>
                <w:b/>
                <w:kern w:val="0"/>
                <w:sz w:val="24"/>
              </w:rPr>
            </w:pPr>
            <w:r>
              <w:rPr>
                <w:rFonts w:ascii="Times New Roman" w:hAnsi="Times New Roman" w:eastAsia="华文楷体"/>
                <w:b/>
                <w:sz w:val="28"/>
              </w:rPr>
              <w:t>受托机构月度/年度报告</w:t>
            </w:r>
          </w:p>
        </w:tc>
      </w:tr>
      <w:tr w14:paraId="46763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92" w:type="dxa"/>
            <w:gridSpan w:val="5"/>
            <w:shd w:val="clear" w:color="auto" w:fill="FFFFFF"/>
          </w:tcPr>
          <w:p w14:paraId="20D64CEA">
            <w:pPr>
              <w:widowControl/>
              <w:rPr>
                <w:rFonts w:ascii="Times New Roman" w:hAnsi="Times New Roman" w:eastAsia="华文楷体"/>
                <w:b/>
              </w:rPr>
            </w:pPr>
            <w:r>
              <w:rPr>
                <w:rFonts w:ascii="Times New Roman" w:hAnsi="Times New Roman" w:eastAsia="华文楷体"/>
                <w:b/>
              </w:rPr>
              <w:t>三、资产池情况</w:t>
            </w:r>
          </w:p>
          <w:p w14:paraId="58516AAC">
            <w:pPr>
              <w:widowControl/>
              <w:rPr>
                <w:rFonts w:ascii="Times New Roman" w:hAnsi="Times New Roman" w:eastAsia="华文楷体"/>
                <w:b/>
                <w:bCs/>
                <w:kern w:val="0"/>
              </w:rPr>
            </w:pPr>
            <w:r>
              <w:rPr>
                <w:rFonts w:ascii="Times New Roman" w:hAnsi="Times New Roman" w:eastAsia="华文楷体"/>
                <w:b/>
              </w:rPr>
              <w:t>（六）资产池现金流入情况</w:t>
            </w:r>
          </w:p>
        </w:tc>
      </w:tr>
      <w:tr w14:paraId="3D9C4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tcPr>
          <w:p w14:paraId="3FE11B5D">
            <w:pPr>
              <w:widowControl/>
              <w:rPr>
                <w:rFonts w:ascii="Times New Roman" w:hAnsi="Times New Roman" w:eastAsia="华文楷体"/>
                <w:kern w:val="0"/>
                <w:sz w:val="18"/>
                <w:szCs w:val="18"/>
              </w:rPr>
            </w:pPr>
          </w:p>
        </w:tc>
        <w:tc>
          <w:tcPr>
            <w:tcW w:w="2752" w:type="dxa"/>
            <w:gridSpan w:val="2"/>
          </w:tcPr>
          <w:p w14:paraId="39E39999">
            <w:pPr>
              <w:widowControl/>
              <w:jc w:val="center"/>
              <w:rPr>
                <w:rFonts w:ascii="Times New Roman" w:hAnsi="Times New Roman" w:eastAsia="华文楷体"/>
                <w:b/>
                <w:bCs/>
                <w:kern w:val="0"/>
                <w:sz w:val="18"/>
                <w:szCs w:val="18"/>
              </w:rPr>
            </w:pPr>
            <w:r>
              <w:rPr>
                <w:rFonts w:hint="eastAsia" w:ascii="Times New Roman" w:hAnsi="Times New Roman" w:eastAsia="华文楷体"/>
                <w:b/>
                <w:bCs/>
                <w:kern w:val="0"/>
                <w:sz w:val="18"/>
                <w:szCs w:val="18"/>
              </w:rPr>
              <w:t>科目</w:t>
            </w:r>
          </w:p>
        </w:tc>
        <w:tc>
          <w:tcPr>
            <w:tcW w:w="2463" w:type="dxa"/>
            <w:shd w:val="clear" w:color="auto" w:fill="FFFFFF"/>
          </w:tcPr>
          <w:p w14:paraId="6B88621D">
            <w:pPr>
              <w:widowControl/>
              <w:jc w:val="center"/>
              <w:rPr>
                <w:rFonts w:ascii="Times New Roman" w:hAnsi="Times New Roman" w:eastAsia="华文楷体"/>
                <w:b/>
                <w:bCs/>
                <w:kern w:val="0"/>
                <w:sz w:val="18"/>
                <w:szCs w:val="18"/>
              </w:rPr>
            </w:pPr>
            <w:r>
              <w:rPr>
                <w:rFonts w:hint="eastAsia" w:ascii="Times New Roman" w:hAnsi="Times New Roman" w:eastAsia="华文楷体"/>
                <w:b/>
                <w:bCs/>
                <w:kern w:val="0"/>
                <w:sz w:val="18"/>
                <w:szCs w:val="18"/>
              </w:rPr>
              <w:t>上一收款期间</w:t>
            </w:r>
          </w:p>
        </w:tc>
        <w:tc>
          <w:tcPr>
            <w:tcW w:w="2608" w:type="dxa"/>
            <w:shd w:val="clear" w:color="auto" w:fill="FFFFFF"/>
          </w:tcPr>
          <w:p w14:paraId="6A28E313">
            <w:pPr>
              <w:widowControl/>
              <w:jc w:val="center"/>
              <w:rPr>
                <w:rFonts w:ascii="Times New Roman" w:hAnsi="Times New Roman" w:eastAsia="华文楷体"/>
                <w:b/>
                <w:bCs/>
                <w:kern w:val="0"/>
                <w:sz w:val="18"/>
                <w:szCs w:val="18"/>
              </w:rPr>
            </w:pPr>
            <w:r>
              <w:rPr>
                <w:rFonts w:hint="eastAsia" w:ascii="Times New Roman" w:hAnsi="Times New Roman" w:eastAsia="华文楷体"/>
                <w:b/>
                <w:bCs/>
                <w:kern w:val="0"/>
                <w:sz w:val="18"/>
                <w:szCs w:val="18"/>
              </w:rPr>
              <w:t>本收款期间</w:t>
            </w:r>
          </w:p>
        </w:tc>
      </w:tr>
      <w:tr w14:paraId="0411B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restart"/>
            <w:textDirection w:val="tbRlV"/>
            <w:vAlign w:val="center"/>
          </w:tcPr>
          <w:p w14:paraId="2FBCF8DD">
            <w:pPr>
              <w:widowControl/>
              <w:ind w:left="113" w:right="113"/>
              <w:jc w:val="center"/>
              <w:rPr>
                <w:rFonts w:ascii="Times New Roman" w:hAnsi="Times New Roman" w:eastAsia="华文楷体"/>
                <w:b/>
                <w:bCs/>
                <w:kern w:val="0"/>
                <w:sz w:val="18"/>
                <w:szCs w:val="18"/>
              </w:rPr>
            </w:pPr>
            <w:r>
              <w:rPr>
                <w:rFonts w:hint="eastAsia" w:ascii="Times New Roman" w:hAnsi="Times New Roman" w:eastAsia="华文楷体"/>
                <w:b/>
                <w:bCs/>
                <w:kern w:val="0"/>
                <w:sz w:val="18"/>
                <w:szCs w:val="18"/>
              </w:rPr>
              <w:t>收入账</w:t>
            </w:r>
          </w:p>
        </w:tc>
        <w:tc>
          <w:tcPr>
            <w:tcW w:w="1014" w:type="dxa"/>
            <w:vMerge w:val="restart"/>
            <w:vAlign w:val="center"/>
          </w:tcPr>
          <w:p w14:paraId="7FA3FAB1">
            <w:pPr>
              <w:widowControl/>
              <w:jc w:val="center"/>
              <w:rPr>
                <w:rFonts w:ascii="Times New Roman" w:hAnsi="Times New Roman" w:eastAsia="华文楷体"/>
                <w:kern w:val="0"/>
                <w:sz w:val="18"/>
                <w:szCs w:val="18"/>
              </w:rPr>
            </w:pPr>
            <w:r>
              <w:rPr>
                <w:rFonts w:hint="eastAsia" w:ascii="Times New Roman" w:hAnsi="Times New Roman" w:eastAsia="华文楷体"/>
                <w:kern w:val="0"/>
                <w:sz w:val="18"/>
                <w:szCs w:val="18"/>
              </w:rPr>
              <w:t>手续费（含利息及违约金）</w:t>
            </w:r>
          </w:p>
        </w:tc>
        <w:tc>
          <w:tcPr>
            <w:tcW w:w="1738" w:type="dxa"/>
          </w:tcPr>
          <w:p w14:paraId="50D55249">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计划内还款</w:t>
            </w:r>
          </w:p>
        </w:tc>
        <w:tc>
          <w:tcPr>
            <w:tcW w:w="2463" w:type="dxa"/>
          </w:tcPr>
          <w:p w14:paraId="22C28945">
            <w:pPr>
              <w:widowControl/>
              <w:jc w:val="right"/>
              <w:rPr>
                <w:rFonts w:ascii="Times New Roman" w:hAnsi="Times New Roman" w:eastAsia="华文楷体"/>
                <w:kern w:val="0"/>
                <w:sz w:val="18"/>
                <w:szCs w:val="18"/>
              </w:rPr>
            </w:pPr>
          </w:p>
        </w:tc>
        <w:tc>
          <w:tcPr>
            <w:tcW w:w="2608" w:type="dxa"/>
          </w:tcPr>
          <w:p w14:paraId="1C18F23D">
            <w:pPr>
              <w:widowControl/>
              <w:rPr>
                <w:rFonts w:ascii="Times New Roman" w:hAnsi="Times New Roman" w:eastAsia="华文楷体"/>
                <w:kern w:val="0"/>
                <w:sz w:val="18"/>
                <w:szCs w:val="18"/>
              </w:rPr>
            </w:pPr>
          </w:p>
        </w:tc>
      </w:tr>
      <w:tr w14:paraId="19DED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extDirection w:val="tbRlV"/>
            <w:vAlign w:val="center"/>
          </w:tcPr>
          <w:p w14:paraId="3797A363">
            <w:pPr>
              <w:widowControl/>
              <w:ind w:left="113" w:right="113"/>
              <w:jc w:val="center"/>
              <w:rPr>
                <w:rFonts w:ascii="Times New Roman" w:hAnsi="Times New Roman" w:eastAsia="华文楷体"/>
                <w:b/>
                <w:bCs/>
                <w:kern w:val="0"/>
                <w:sz w:val="18"/>
                <w:szCs w:val="18"/>
              </w:rPr>
            </w:pPr>
          </w:p>
        </w:tc>
        <w:tc>
          <w:tcPr>
            <w:tcW w:w="1014" w:type="dxa"/>
            <w:vMerge w:val="continue"/>
            <w:vAlign w:val="center"/>
          </w:tcPr>
          <w:p w14:paraId="4F63EF32">
            <w:pPr>
              <w:widowControl/>
              <w:jc w:val="center"/>
              <w:rPr>
                <w:rFonts w:ascii="Times New Roman" w:hAnsi="Times New Roman" w:eastAsia="华文楷体"/>
                <w:kern w:val="0"/>
                <w:sz w:val="18"/>
                <w:szCs w:val="18"/>
              </w:rPr>
            </w:pPr>
          </w:p>
        </w:tc>
        <w:tc>
          <w:tcPr>
            <w:tcW w:w="1738" w:type="dxa"/>
          </w:tcPr>
          <w:p w14:paraId="47DC3006">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提前还款</w:t>
            </w:r>
          </w:p>
        </w:tc>
        <w:tc>
          <w:tcPr>
            <w:tcW w:w="2463" w:type="dxa"/>
          </w:tcPr>
          <w:p w14:paraId="652B2E5E">
            <w:pPr>
              <w:widowControl/>
              <w:jc w:val="right"/>
              <w:rPr>
                <w:rFonts w:ascii="Times New Roman" w:hAnsi="Times New Roman" w:eastAsia="华文楷体"/>
                <w:kern w:val="0"/>
                <w:sz w:val="18"/>
                <w:szCs w:val="18"/>
              </w:rPr>
            </w:pPr>
          </w:p>
        </w:tc>
        <w:tc>
          <w:tcPr>
            <w:tcW w:w="2608" w:type="dxa"/>
          </w:tcPr>
          <w:p w14:paraId="449EC455">
            <w:pPr>
              <w:widowControl/>
              <w:rPr>
                <w:rFonts w:ascii="Times New Roman" w:hAnsi="Times New Roman" w:eastAsia="华文楷体"/>
                <w:kern w:val="0"/>
                <w:sz w:val="18"/>
                <w:szCs w:val="18"/>
              </w:rPr>
            </w:pPr>
          </w:p>
        </w:tc>
      </w:tr>
      <w:tr w14:paraId="36EBE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vAlign w:val="center"/>
          </w:tcPr>
          <w:p w14:paraId="15192F3D">
            <w:pPr>
              <w:widowControl/>
              <w:jc w:val="left"/>
              <w:rPr>
                <w:rFonts w:ascii="Times New Roman" w:hAnsi="Times New Roman" w:eastAsia="华文楷体"/>
                <w:b/>
                <w:bCs/>
                <w:kern w:val="0"/>
                <w:sz w:val="18"/>
                <w:szCs w:val="18"/>
              </w:rPr>
            </w:pPr>
          </w:p>
        </w:tc>
        <w:tc>
          <w:tcPr>
            <w:tcW w:w="1014" w:type="dxa"/>
            <w:vMerge w:val="continue"/>
          </w:tcPr>
          <w:p w14:paraId="023603AB">
            <w:pPr>
              <w:widowControl/>
              <w:rPr>
                <w:rFonts w:ascii="Times New Roman" w:hAnsi="Times New Roman" w:eastAsia="华文楷体"/>
                <w:kern w:val="0"/>
                <w:sz w:val="18"/>
                <w:szCs w:val="18"/>
              </w:rPr>
            </w:pPr>
          </w:p>
        </w:tc>
        <w:tc>
          <w:tcPr>
            <w:tcW w:w="1738" w:type="dxa"/>
          </w:tcPr>
          <w:p w14:paraId="6D3755B0">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逾期回收（包含逾期后早偿）</w:t>
            </w:r>
          </w:p>
        </w:tc>
        <w:tc>
          <w:tcPr>
            <w:tcW w:w="2463" w:type="dxa"/>
          </w:tcPr>
          <w:p w14:paraId="7EDF4556">
            <w:pPr>
              <w:widowControl/>
              <w:jc w:val="right"/>
              <w:rPr>
                <w:rFonts w:ascii="Times New Roman" w:hAnsi="Times New Roman" w:eastAsia="华文楷体"/>
                <w:kern w:val="0"/>
                <w:sz w:val="18"/>
                <w:szCs w:val="18"/>
              </w:rPr>
            </w:pPr>
          </w:p>
        </w:tc>
        <w:tc>
          <w:tcPr>
            <w:tcW w:w="2608" w:type="dxa"/>
          </w:tcPr>
          <w:p w14:paraId="5673E382">
            <w:pPr>
              <w:widowControl/>
              <w:jc w:val="left"/>
              <w:rPr>
                <w:rFonts w:ascii="Times New Roman" w:hAnsi="Times New Roman" w:eastAsia="华文楷体"/>
                <w:kern w:val="0"/>
                <w:sz w:val="18"/>
                <w:szCs w:val="18"/>
              </w:rPr>
            </w:pPr>
          </w:p>
        </w:tc>
      </w:tr>
      <w:tr w14:paraId="48B03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vAlign w:val="center"/>
          </w:tcPr>
          <w:p w14:paraId="133F08F7">
            <w:pPr>
              <w:widowControl/>
              <w:jc w:val="left"/>
              <w:rPr>
                <w:rFonts w:ascii="Times New Roman" w:hAnsi="Times New Roman" w:eastAsia="华文楷体"/>
                <w:b/>
                <w:bCs/>
                <w:kern w:val="0"/>
                <w:sz w:val="18"/>
                <w:szCs w:val="18"/>
              </w:rPr>
            </w:pPr>
          </w:p>
        </w:tc>
        <w:tc>
          <w:tcPr>
            <w:tcW w:w="1014" w:type="dxa"/>
            <w:vMerge w:val="continue"/>
          </w:tcPr>
          <w:p w14:paraId="7447ADE4">
            <w:pPr>
              <w:widowControl/>
              <w:rPr>
                <w:rFonts w:ascii="Times New Roman" w:hAnsi="Times New Roman" w:eastAsia="华文楷体"/>
                <w:kern w:val="0"/>
                <w:sz w:val="18"/>
                <w:szCs w:val="18"/>
              </w:rPr>
            </w:pPr>
          </w:p>
        </w:tc>
        <w:tc>
          <w:tcPr>
            <w:tcW w:w="1738" w:type="dxa"/>
          </w:tcPr>
          <w:p w14:paraId="7CE6EC93">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违约回收</w:t>
            </w:r>
          </w:p>
        </w:tc>
        <w:tc>
          <w:tcPr>
            <w:tcW w:w="2463" w:type="dxa"/>
          </w:tcPr>
          <w:p w14:paraId="420EC135">
            <w:pPr>
              <w:widowControl/>
              <w:jc w:val="right"/>
              <w:rPr>
                <w:rFonts w:ascii="Times New Roman" w:hAnsi="Times New Roman" w:eastAsia="华文楷体"/>
                <w:kern w:val="0"/>
                <w:sz w:val="18"/>
                <w:szCs w:val="18"/>
              </w:rPr>
            </w:pPr>
          </w:p>
        </w:tc>
        <w:tc>
          <w:tcPr>
            <w:tcW w:w="2608" w:type="dxa"/>
          </w:tcPr>
          <w:p w14:paraId="4B16E732">
            <w:pPr>
              <w:widowControl/>
              <w:jc w:val="left"/>
              <w:rPr>
                <w:rFonts w:ascii="Times New Roman" w:hAnsi="Times New Roman" w:eastAsia="华文楷体"/>
                <w:kern w:val="0"/>
                <w:sz w:val="18"/>
                <w:szCs w:val="18"/>
              </w:rPr>
            </w:pPr>
          </w:p>
        </w:tc>
      </w:tr>
      <w:tr w14:paraId="61FAE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vAlign w:val="center"/>
          </w:tcPr>
          <w:p w14:paraId="2AC58908">
            <w:pPr>
              <w:widowControl/>
              <w:jc w:val="left"/>
              <w:rPr>
                <w:rFonts w:ascii="Times New Roman" w:hAnsi="Times New Roman" w:eastAsia="华文楷体"/>
                <w:b/>
                <w:bCs/>
                <w:kern w:val="0"/>
                <w:sz w:val="18"/>
                <w:szCs w:val="18"/>
              </w:rPr>
            </w:pPr>
          </w:p>
        </w:tc>
        <w:tc>
          <w:tcPr>
            <w:tcW w:w="1014" w:type="dxa"/>
            <w:vMerge w:val="continue"/>
          </w:tcPr>
          <w:p w14:paraId="7726C1A2">
            <w:pPr>
              <w:widowControl/>
              <w:rPr>
                <w:rFonts w:ascii="Times New Roman" w:hAnsi="Times New Roman" w:eastAsia="华文楷体"/>
                <w:kern w:val="0"/>
                <w:sz w:val="18"/>
                <w:szCs w:val="18"/>
              </w:rPr>
            </w:pPr>
          </w:p>
        </w:tc>
        <w:tc>
          <w:tcPr>
            <w:tcW w:w="1738" w:type="dxa"/>
          </w:tcPr>
          <w:p w14:paraId="24DF59DE">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资产赎回</w:t>
            </w:r>
          </w:p>
        </w:tc>
        <w:tc>
          <w:tcPr>
            <w:tcW w:w="2463" w:type="dxa"/>
          </w:tcPr>
          <w:p w14:paraId="2787506C">
            <w:pPr>
              <w:widowControl/>
              <w:jc w:val="right"/>
              <w:rPr>
                <w:rFonts w:ascii="Times New Roman" w:hAnsi="Times New Roman" w:eastAsia="华文楷体"/>
                <w:kern w:val="0"/>
                <w:sz w:val="18"/>
                <w:szCs w:val="18"/>
              </w:rPr>
            </w:pPr>
          </w:p>
        </w:tc>
        <w:tc>
          <w:tcPr>
            <w:tcW w:w="2608" w:type="dxa"/>
          </w:tcPr>
          <w:p w14:paraId="0D25109C">
            <w:pPr>
              <w:widowControl/>
              <w:jc w:val="left"/>
              <w:rPr>
                <w:rFonts w:ascii="Times New Roman" w:hAnsi="Times New Roman" w:eastAsia="华文楷体"/>
                <w:kern w:val="0"/>
                <w:sz w:val="18"/>
                <w:szCs w:val="18"/>
              </w:rPr>
            </w:pPr>
          </w:p>
        </w:tc>
      </w:tr>
      <w:tr w14:paraId="56991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vAlign w:val="center"/>
          </w:tcPr>
          <w:p w14:paraId="72908625">
            <w:pPr>
              <w:widowControl/>
              <w:jc w:val="left"/>
              <w:rPr>
                <w:rFonts w:ascii="Times New Roman" w:hAnsi="Times New Roman" w:eastAsia="华文楷体"/>
                <w:b/>
                <w:bCs/>
                <w:kern w:val="0"/>
                <w:sz w:val="18"/>
                <w:szCs w:val="18"/>
              </w:rPr>
            </w:pPr>
          </w:p>
        </w:tc>
        <w:tc>
          <w:tcPr>
            <w:tcW w:w="1014" w:type="dxa"/>
            <w:vMerge w:val="continue"/>
          </w:tcPr>
          <w:p w14:paraId="2D772A0F">
            <w:pPr>
              <w:widowControl/>
              <w:rPr>
                <w:rFonts w:ascii="Times New Roman" w:hAnsi="Times New Roman" w:eastAsia="华文楷体"/>
                <w:kern w:val="0"/>
                <w:sz w:val="18"/>
                <w:szCs w:val="18"/>
              </w:rPr>
            </w:pPr>
          </w:p>
        </w:tc>
        <w:tc>
          <w:tcPr>
            <w:tcW w:w="1738" w:type="dxa"/>
          </w:tcPr>
          <w:p w14:paraId="4F955B96">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清仓回购</w:t>
            </w:r>
          </w:p>
        </w:tc>
        <w:tc>
          <w:tcPr>
            <w:tcW w:w="2463" w:type="dxa"/>
          </w:tcPr>
          <w:p w14:paraId="2FE7770A">
            <w:pPr>
              <w:widowControl/>
              <w:jc w:val="right"/>
              <w:rPr>
                <w:rFonts w:ascii="Times New Roman" w:hAnsi="Times New Roman" w:eastAsia="华文楷体"/>
                <w:kern w:val="0"/>
                <w:sz w:val="18"/>
                <w:szCs w:val="18"/>
              </w:rPr>
            </w:pPr>
          </w:p>
        </w:tc>
        <w:tc>
          <w:tcPr>
            <w:tcW w:w="2608" w:type="dxa"/>
          </w:tcPr>
          <w:p w14:paraId="5DCE8389">
            <w:pPr>
              <w:widowControl/>
              <w:jc w:val="left"/>
              <w:rPr>
                <w:rFonts w:ascii="Times New Roman" w:hAnsi="Times New Roman" w:eastAsia="华文楷体"/>
                <w:kern w:val="0"/>
                <w:sz w:val="18"/>
                <w:szCs w:val="18"/>
              </w:rPr>
            </w:pPr>
          </w:p>
        </w:tc>
      </w:tr>
      <w:tr w14:paraId="255D0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vAlign w:val="center"/>
          </w:tcPr>
          <w:p w14:paraId="49C1F996">
            <w:pPr>
              <w:widowControl/>
              <w:jc w:val="left"/>
              <w:rPr>
                <w:rFonts w:ascii="Times New Roman" w:hAnsi="Times New Roman" w:eastAsia="华文楷体"/>
                <w:b/>
                <w:bCs/>
                <w:kern w:val="0"/>
                <w:sz w:val="18"/>
                <w:szCs w:val="18"/>
              </w:rPr>
            </w:pPr>
          </w:p>
        </w:tc>
        <w:tc>
          <w:tcPr>
            <w:tcW w:w="1014" w:type="dxa"/>
            <w:vMerge w:val="continue"/>
          </w:tcPr>
          <w:p w14:paraId="3190DC24">
            <w:pPr>
              <w:widowControl/>
              <w:rPr>
                <w:rFonts w:ascii="Times New Roman" w:hAnsi="Times New Roman" w:eastAsia="华文楷体"/>
                <w:kern w:val="0"/>
                <w:sz w:val="18"/>
                <w:szCs w:val="18"/>
              </w:rPr>
            </w:pPr>
          </w:p>
        </w:tc>
        <w:tc>
          <w:tcPr>
            <w:tcW w:w="1738" w:type="dxa"/>
          </w:tcPr>
          <w:p w14:paraId="1D5A1318">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合计</w:t>
            </w:r>
          </w:p>
        </w:tc>
        <w:tc>
          <w:tcPr>
            <w:tcW w:w="2463" w:type="dxa"/>
          </w:tcPr>
          <w:p w14:paraId="239B342C">
            <w:pPr>
              <w:widowControl/>
              <w:jc w:val="right"/>
              <w:rPr>
                <w:rFonts w:ascii="Times New Roman" w:hAnsi="Times New Roman" w:eastAsia="华文楷体"/>
                <w:kern w:val="0"/>
                <w:sz w:val="18"/>
                <w:szCs w:val="18"/>
              </w:rPr>
            </w:pPr>
          </w:p>
        </w:tc>
        <w:tc>
          <w:tcPr>
            <w:tcW w:w="2608" w:type="dxa"/>
          </w:tcPr>
          <w:p w14:paraId="142D3528">
            <w:pPr>
              <w:widowControl/>
              <w:jc w:val="left"/>
              <w:rPr>
                <w:rFonts w:ascii="Times New Roman" w:hAnsi="Times New Roman" w:eastAsia="华文楷体"/>
                <w:kern w:val="0"/>
                <w:sz w:val="18"/>
                <w:szCs w:val="18"/>
              </w:rPr>
            </w:pPr>
          </w:p>
        </w:tc>
      </w:tr>
      <w:tr w14:paraId="15439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vAlign w:val="center"/>
          </w:tcPr>
          <w:p w14:paraId="7D4A5E36">
            <w:pPr>
              <w:widowControl/>
              <w:jc w:val="left"/>
              <w:rPr>
                <w:rFonts w:ascii="Times New Roman" w:hAnsi="Times New Roman" w:eastAsia="华文楷体"/>
                <w:b/>
                <w:bCs/>
                <w:kern w:val="0"/>
                <w:sz w:val="18"/>
                <w:szCs w:val="18"/>
              </w:rPr>
            </w:pPr>
          </w:p>
        </w:tc>
        <w:tc>
          <w:tcPr>
            <w:tcW w:w="2752" w:type="dxa"/>
            <w:gridSpan w:val="2"/>
          </w:tcPr>
          <w:p w14:paraId="290D2851">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其他收入</w:t>
            </w:r>
          </w:p>
        </w:tc>
        <w:tc>
          <w:tcPr>
            <w:tcW w:w="2463" w:type="dxa"/>
          </w:tcPr>
          <w:p w14:paraId="78D07813">
            <w:pPr>
              <w:widowControl/>
              <w:jc w:val="right"/>
              <w:rPr>
                <w:rFonts w:ascii="Times New Roman" w:hAnsi="Times New Roman" w:eastAsia="华文楷体"/>
                <w:kern w:val="0"/>
                <w:sz w:val="18"/>
                <w:szCs w:val="18"/>
              </w:rPr>
            </w:pPr>
          </w:p>
        </w:tc>
        <w:tc>
          <w:tcPr>
            <w:tcW w:w="2608" w:type="dxa"/>
          </w:tcPr>
          <w:p w14:paraId="709B6A22">
            <w:pPr>
              <w:widowControl/>
              <w:jc w:val="left"/>
              <w:rPr>
                <w:rFonts w:ascii="Times New Roman" w:hAnsi="Times New Roman" w:eastAsia="华文楷体"/>
                <w:kern w:val="0"/>
                <w:sz w:val="18"/>
                <w:szCs w:val="18"/>
              </w:rPr>
            </w:pPr>
          </w:p>
        </w:tc>
      </w:tr>
      <w:tr w14:paraId="1ED19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vAlign w:val="center"/>
          </w:tcPr>
          <w:p w14:paraId="5CF7920E">
            <w:pPr>
              <w:widowControl/>
              <w:jc w:val="left"/>
              <w:rPr>
                <w:rFonts w:ascii="Times New Roman" w:hAnsi="Times New Roman" w:eastAsia="华文楷体"/>
                <w:b/>
                <w:bCs/>
                <w:kern w:val="0"/>
                <w:sz w:val="18"/>
                <w:szCs w:val="18"/>
              </w:rPr>
            </w:pPr>
          </w:p>
        </w:tc>
        <w:tc>
          <w:tcPr>
            <w:tcW w:w="2752" w:type="dxa"/>
            <w:gridSpan w:val="2"/>
          </w:tcPr>
          <w:p w14:paraId="20AB19ED">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合格投资</w:t>
            </w:r>
          </w:p>
        </w:tc>
        <w:tc>
          <w:tcPr>
            <w:tcW w:w="2463" w:type="dxa"/>
          </w:tcPr>
          <w:p w14:paraId="5F0E4FB8">
            <w:pPr>
              <w:widowControl/>
              <w:jc w:val="right"/>
              <w:rPr>
                <w:rFonts w:ascii="Times New Roman" w:hAnsi="Times New Roman" w:eastAsia="华文楷体"/>
                <w:kern w:val="0"/>
                <w:sz w:val="18"/>
                <w:szCs w:val="18"/>
              </w:rPr>
            </w:pPr>
          </w:p>
        </w:tc>
        <w:tc>
          <w:tcPr>
            <w:tcW w:w="2608" w:type="dxa"/>
          </w:tcPr>
          <w:p w14:paraId="43152FA5">
            <w:pPr>
              <w:widowControl/>
              <w:jc w:val="left"/>
              <w:rPr>
                <w:rFonts w:ascii="Times New Roman" w:hAnsi="Times New Roman" w:eastAsia="华文楷体"/>
                <w:kern w:val="0"/>
                <w:sz w:val="18"/>
                <w:szCs w:val="18"/>
              </w:rPr>
            </w:pPr>
          </w:p>
        </w:tc>
      </w:tr>
      <w:tr w14:paraId="34D03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vAlign w:val="center"/>
          </w:tcPr>
          <w:p w14:paraId="68F5BAFC">
            <w:pPr>
              <w:widowControl/>
              <w:jc w:val="left"/>
              <w:rPr>
                <w:rFonts w:ascii="Times New Roman" w:hAnsi="Times New Roman" w:eastAsia="华文楷体"/>
                <w:b/>
                <w:bCs/>
                <w:kern w:val="0"/>
                <w:sz w:val="18"/>
                <w:szCs w:val="18"/>
              </w:rPr>
            </w:pPr>
          </w:p>
        </w:tc>
        <w:tc>
          <w:tcPr>
            <w:tcW w:w="2752" w:type="dxa"/>
            <w:gridSpan w:val="2"/>
          </w:tcPr>
          <w:p w14:paraId="36134D35">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合计</w:t>
            </w:r>
          </w:p>
        </w:tc>
        <w:tc>
          <w:tcPr>
            <w:tcW w:w="2463" w:type="dxa"/>
          </w:tcPr>
          <w:p w14:paraId="1D85C72B">
            <w:pPr>
              <w:widowControl/>
              <w:jc w:val="right"/>
              <w:rPr>
                <w:rFonts w:ascii="Times New Roman" w:hAnsi="Times New Roman" w:eastAsia="华文楷体"/>
                <w:kern w:val="0"/>
                <w:sz w:val="18"/>
                <w:szCs w:val="18"/>
              </w:rPr>
            </w:pPr>
          </w:p>
        </w:tc>
        <w:tc>
          <w:tcPr>
            <w:tcW w:w="2608" w:type="dxa"/>
          </w:tcPr>
          <w:p w14:paraId="30367917">
            <w:pPr>
              <w:widowControl/>
              <w:jc w:val="left"/>
              <w:rPr>
                <w:rFonts w:ascii="Times New Roman" w:hAnsi="Times New Roman" w:eastAsia="华文楷体"/>
                <w:kern w:val="0"/>
                <w:sz w:val="18"/>
                <w:szCs w:val="18"/>
              </w:rPr>
            </w:pPr>
          </w:p>
        </w:tc>
      </w:tr>
      <w:tr w14:paraId="461E8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restart"/>
            <w:textDirection w:val="tbRlV"/>
            <w:vAlign w:val="center"/>
          </w:tcPr>
          <w:p w14:paraId="31FDA862">
            <w:pPr>
              <w:widowControl/>
              <w:ind w:left="113" w:right="113"/>
              <w:jc w:val="center"/>
              <w:rPr>
                <w:rFonts w:ascii="Times New Roman" w:hAnsi="Times New Roman" w:eastAsia="华文楷体"/>
                <w:b/>
                <w:bCs/>
                <w:kern w:val="0"/>
                <w:sz w:val="18"/>
                <w:szCs w:val="18"/>
              </w:rPr>
            </w:pPr>
            <w:r>
              <w:rPr>
                <w:rFonts w:hint="eastAsia" w:ascii="Times New Roman" w:hAnsi="Times New Roman" w:eastAsia="华文楷体"/>
                <w:b/>
                <w:bCs/>
                <w:kern w:val="0"/>
                <w:sz w:val="18"/>
                <w:szCs w:val="18"/>
              </w:rPr>
              <w:t>本金账</w:t>
            </w:r>
          </w:p>
        </w:tc>
        <w:tc>
          <w:tcPr>
            <w:tcW w:w="1014" w:type="dxa"/>
            <w:vMerge w:val="restart"/>
            <w:vAlign w:val="center"/>
          </w:tcPr>
          <w:p w14:paraId="6B318C6B">
            <w:pPr>
              <w:widowControl/>
              <w:ind w:firstLine="90" w:firstLineChars="50"/>
              <w:rPr>
                <w:rFonts w:ascii="Times New Roman" w:hAnsi="Times New Roman" w:eastAsia="华文楷体"/>
                <w:kern w:val="0"/>
                <w:sz w:val="18"/>
                <w:szCs w:val="18"/>
              </w:rPr>
            </w:pPr>
            <w:r>
              <w:rPr>
                <w:rFonts w:hint="eastAsia" w:ascii="Times New Roman" w:hAnsi="Times New Roman" w:eastAsia="华文楷体"/>
                <w:kern w:val="0"/>
                <w:sz w:val="18"/>
                <w:szCs w:val="18"/>
              </w:rPr>
              <w:t>本金</w:t>
            </w:r>
          </w:p>
        </w:tc>
        <w:tc>
          <w:tcPr>
            <w:tcW w:w="1738" w:type="dxa"/>
          </w:tcPr>
          <w:p w14:paraId="66E4D663">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计划内还款</w:t>
            </w:r>
          </w:p>
        </w:tc>
        <w:tc>
          <w:tcPr>
            <w:tcW w:w="2463" w:type="dxa"/>
          </w:tcPr>
          <w:p w14:paraId="740174FE">
            <w:pPr>
              <w:widowControl/>
              <w:jc w:val="right"/>
              <w:rPr>
                <w:rFonts w:ascii="Times New Roman" w:hAnsi="Times New Roman" w:eastAsia="华文楷体"/>
                <w:kern w:val="0"/>
                <w:sz w:val="18"/>
                <w:szCs w:val="18"/>
              </w:rPr>
            </w:pPr>
          </w:p>
        </w:tc>
        <w:tc>
          <w:tcPr>
            <w:tcW w:w="2608" w:type="dxa"/>
          </w:tcPr>
          <w:p w14:paraId="76F23D17">
            <w:pPr>
              <w:widowControl/>
              <w:rPr>
                <w:rFonts w:ascii="Times New Roman" w:hAnsi="Times New Roman" w:eastAsia="华文楷体"/>
                <w:kern w:val="0"/>
                <w:sz w:val="18"/>
                <w:szCs w:val="18"/>
              </w:rPr>
            </w:pPr>
          </w:p>
        </w:tc>
      </w:tr>
      <w:tr w14:paraId="179A9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extDirection w:val="tbRlV"/>
          </w:tcPr>
          <w:p w14:paraId="1D6B23E8">
            <w:pPr>
              <w:widowControl/>
              <w:ind w:left="113" w:right="113"/>
              <w:jc w:val="center"/>
              <w:rPr>
                <w:rFonts w:ascii="Times New Roman" w:hAnsi="Times New Roman" w:eastAsia="华文楷体"/>
                <w:b/>
                <w:bCs/>
                <w:kern w:val="0"/>
                <w:sz w:val="18"/>
                <w:szCs w:val="18"/>
              </w:rPr>
            </w:pPr>
          </w:p>
        </w:tc>
        <w:tc>
          <w:tcPr>
            <w:tcW w:w="1014" w:type="dxa"/>
            <w:vMerge w:val="continue"/>
          </w:tcPr>
          <w:p w14:paraId="324D4CF4">
            <w:pPr>
              <w:widowControl/>
              <w:rPr>
                <w:rFonts w:ascii="Times New Roman" w:hAnsi="Times New Roman" w:eastAsia="华文楷体"/>
                <w:kern w:val="0"/>
                <w:sz w:val="18"/>
                <w:szCs w:val="18"/>
              </w:rPr>
            </w:pPr>
          </w:p>
        </w:tc>
        <w:tc>
          <w:tcPr>
            <w:tcW w:w="1738" w:type="dxa"/>
          </w:tcPr>
          <w:p w14:paraId="5A8E0607">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提前还款</w:t>
            </w:r>
          </w:p>
        </w:tc>
        <w:tc>
          <w:tcPr>
            <w:tcW w:w="2463" w:type="dxa"/>
          </w:tcPr>
          <w:p w14:paraId="158A2F22">
            <w:pPr>
              <w:widowControl/>
              <w:jc w:val="right"/>
              <w:rPr>
                <w:rFonts w:ascii="Times New Roman" w:hAnsi="Times New Roman" w:eastAsia="华文楷体"/>
                <w:kern w:val="0"/>
                <w:sz w:val="18"/>
                <w:szCs w:val="18"/>
              </w:rPr>
            </w:pPr>
          </w:p>
        </w:tc>
        <w:tc>
          <w:tcPr>
            <w:tcW w:w="2608" w:type="dxa"/>
          </w:tcPr>
          <w:p w14:paraId="713EF71A">
            <w:pPr>
              <w:widowControl/>
              <w:rPr>
                <w:rFonts w:ascii="Times New Roman" w:hAnsi="Times New Roman" w:eastAsia="华文楷体"/>
                <w:kern w:val="0"/>
                <w:sz w:val="18"/>
                <w:szCs w:val="18"/>
              </w:rPr>
            </w:pPr>
          </w:p>
        </w:tc>
      </w:tr>
      <w:tr w14:paraId="67C5A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extDirection w:val="tbRlV"/>
          </w:tcPr>
          <w:p w14:paraId="1FFE0A0E">
            <w:pPr>
              <w:widowControl/>
              <w:ind w:left="113" w:right="113"/>
              <w:jc w:val="center"/>
              <w:rPr>
                <w:rFonts w:ascii="Times New Roman" w:hAnsi="Times New Roman" w:eastAsia="华文楷体"/>
                <w:b/>
                <w:bCs/>
                <w:kern w:val="0"/>
                <w:sz w:val="18"/>
                <w:szCs w:val="18"/>
              </w:rPr>
            </w:pPr>
          </w:p>
        </w:tc>
        <w:tc>
          <w:tcPr>
            <w:tcW w:w="1014" w:type="dxa"/>
            <w:vMerge w:val="continue"/>
          </w:tcPr>
          <w:p w14:paraId="6FD4772D">
            <w:pPr>
              <w:widowControl/>
              <w:rPr>
                <w:rFonts w:ascii="Times New Roman" w:hAnsi="Times New Roman" w:eastAsia="华文楷体"/>
                <w:kern w:val="0"/>
                <w:sz w:val="18"/>
                <w:szCs w:val="18"/>
              </w:rPr>
            </w:pPr>
          </w:p>
        </w:tc>
        <w:tc>
          <w:tcPr>
            <w:tcW w:w="1738" w:type="dxa"/>
          </w:tcPr>
          <w:p w14:paraId="44ECED1D">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逾期回收（包含逾期后早偿）</w:t>
            </w:r>
          </w:p>
        </w:tc>
        <w:tc>
          <w:tcPr>
            <w:tcW w:w="2463" w:type="dxa"/>
          </w:tcPr>
          <w:p w14:paraId="50513D70">
            <w:pPr>
              <w:widowControl/>
              <w:jc w:val="right"/>
              <w:rPr>
                <w:rFonts w:ascii="Times New Roman" w:hAnsi="Times New Roman" w:eastAsia="华文楷体"/>
                <w:kern w:val="0"/>
                <w:sz w:val="18"/>
                <w:szCs w:val="18"/>
              </w:rPr>
            </w:pPr>
          </w:p>
        </w:tc>
        <w:tc>
          <w:tcPr>
            <w:tcW w:w="2608" w:type="dxa"/>
          </w:tcPr>
          <w:p w14:paraId="57AECB9A">
            <w:pPr>
              <w:widowControl/>
              <w:rPr>
                <w:rFonts w:ascii="Times New Roman" w:hAnsi="Times New Roman" w:eastAsia="华文楷体"/>
                <w:kern w:val="0"/>
                <w:sz w:val="18"/>
                <w:szCs w:val="18"/>
              </w:rPr>
            </w:pPr>
          </w:p>
        </w:tc>
      </w:tr>
      <w:tr w14:paraId="29A81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extDirection w:val="tbRlV"/>
          </w:tcPr>
          <w:p w14:paraId="25546EC3">
            <w:pPr>
              <w:widowControl/>
              <w:ind w:left="113" w:right="113"/>
              <w:jc w:val="center"/>
              <w:rPr>
                <w:rFonts w:ascii="Times New Roman" w:hAnsi="Times New Roman" w:eastAsia="华文楷体"/>
                <w:b/>
                <w:bCs/>
                <w:kern w:val="0"/>
                <w:sz w:val="18"/>
                <w:szCs w:val="18"/>
              </w:rPr>
            </w:pPr>
          </w:p>
        </w:tc>
        <w:tc>
          <w:tcPr>
            <w:tcW w:w="1014" w:type="dxa"/>
            <w:vMerge w:val="continue"/>
          </w:tcPr>
          <w:p w14:paraId="3329FD71">
            <w:pPr>
              <w:widowControl/>
              <w:rPr>
                <w:rFonts w:ascii="Times New Roman" w:hAnsi="Times New Roman" w:eastAsia="华文楷体"/>
                <w:kern w:val="0"/>
                <w:sz w:val="18"/>
                <w:szCs w:val="18"/>
              </w:rPr>
            </w:pPr>
          </w:p>
        </w:tc>
        <w:tc>
          <w:tcPr>
            <w:tcW w:w="1738" w:type="dxa"/>
          </w:tcPr>
          <w:p w14:paraId="6CECA047">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违约回收</w:t>
            </w:r>
          </w:p>
        </w:tc>
        <w:tc>
          <w:tcPr>
            <w:tcW w:w="2463" w:type="dxa"/>
          </w:tcPr>
          <w:p w14:paraId="4CCDC7E4">
            <w:pPr>
              <w:widowControl/>
              <w:jc w:val="right"/>
              <w:rPr>
                <w:rFonts w:ascii="Times New Roman" w:hAnsi="Times New Roman" w:eastAsia="华文楷体"/>
                <w:kern w:val="0"/>
                <w:sz w:val="18"/>
                <w:szCs w:val="18"/>
              </w:rPr>
            </w:pPr>
          </w:p>
        </w:tc>
        <w:tc>
          <w:tcPr>
            <w:tcW w:w="2608" w:type="dxa"/>
          </w:tcPr>
          <w:p w14:paraId="0D7A58A9">
            <w:pPr>
              <w:widowControl/>
              <w:rPr>
                <w:rFonts w:ascii="Times New Roman" w:hAnsi="Times New Roman" w:eastAsia="华文楷体"/>
                <w:kern w:val="0"/>
                <w:sz w:val="18"/>
                <w:szCs w:val="18"/>
              </w:rPr>
            </w:pPr>
          </w:p>
        </w:tc>
      </w:tr>
      <w:tr w14:paraId="1B678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extDirection w:val="tbRlV"/>
          </w:tcPr>
          <w:p w14:paraId="3044FC04">
            <w:pPr>
              <w:widowControl/>
              <w:ind w:left="113" w:right="113"/>
              <w:jc w:val="center"/>
              <w:rPr>
                <w:rFonts w:ascii="Times New Roman" w:hAnsi="Times New Roman" w:eastAsia="华文楷体"/>
                <w:b/>
                <w:bCs/>
                <w:kern w:val="0"/>
                <w:sz w:val="18"/>
                <w:szCs w:val="18"/>
              </w:rPr>
            </w:pPr>
          </w:p>
        </w:tc>
        <w:tc>
          <w:tcPr>
            <w:tcW w:w="1014" w:type="dxa"/>
            <w:vMerge w:val="continue"/>
          </w:tcPr>
          <w:p w14:paraId="6184FA45">
            <w:pPr>
              <w:widowControl/>
              <w:rPr>
                <w:rFonts w:ascii="Times New Roman" w:hAnsi="Times New Roman" w:eastAsia="华文楷体"/>
                <w:kern w:val="0"/>
                <w:sz w:val="18"/>
                <w:szCs w:val="18"/>
              </w:rPr>
            </w:pPr>
          </w:p>
        </w:tc>
        <w:tc>
          <w:tcPr>
            <w:tcW w:w="1738" w:type="dxa"/>
          </w:tcPr>
          <w:p w14:paraId="45821A95">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资产赎回</w:t>
            </w:r>
          </w:p>
        </w:tc>
        <w:tc>
          <w:tcPr>
            <w:tcW w:w="2463" w:type="dxa"/>
          </w:tcPr>
          <w:p w14:paraId="2B42A716">
            <w:pPr>
              <w:widowControl/>
              <w:jc w:val="right"/>
              <w:rPr>
                <w:rFonts w:ascii="Times New Roman" w:hAnsi="Times New Roman" w:eastAsia="华文楷体"/>
                <w:kern w:val="0"/>
                <w:sz w:val="18"/>
                <w:szCs w:val="18"/>
              </w:rPr>
            </w:pPr>
          </w:p>
        </w:tc>
        <w:tc>
          <w:tcPr>
            <w:tcW w:w="2608" w:type="dxa"/>
          </w:tcPr>
          <w:p w14:paraId="3710D27B">
            <w:pPr>
              <w:widowControl/>
              <w:rPr>
                <w:rFonts w:ascii="Times New Roman" w:hAnsi="Times New Roman" w:eastAsia="华文楷体"/>
                <w:kern w:val="0"/>
                <w:sz w:val="18"/>
                <w:szCs w:val="18"/>
              </w:rPr>
            </w:pPr>
          </w:p>
        </w:tc>
      </w:tr>
      <w:tr w14:paraId="7E7AF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extDirection w:val="tbRlV"/>
          </w:tcPr>
          <w:p w14:paraId="6E2DDEB4">
            <w:pPr>
              <w:widowControl/>
              <w:ind w:left="113" w:right="113"/>
              <w:jc w:val="center"/>
              <w:rPr>
                <w:rFonts w:ascii="Times New Roman" w:hAnsi="Times New Roman" w:eastAsia="华文楷体"/>
                <w:b/>
                <w:bCs/>
                <w:kern w:val="0"/>
                <w:sz w:val="18"/>
                <w:szCs w:val="18"/>
              </w:rPr>
            </w:pPr>
          </w:p>
        </w:tc>
        <w:tc>
          <w:tcPr>
            <w:tcW w:w="1014" w:type="dxa"/>
            <w:vMerge w:val="continue"/>
          </w:tcPr>
          <w:p w14:paraId="70C59C38">
            <w:pPr>
              <w:widowControl/>
              <w:rPr>
                <w:rFonts w:ascii="Times New Roman" w:hAnsi="Times New Roman" w:eastAsia="华文楷体"/>
                <w:kern w:val="0"/>
                <w:sz w:val="18"/>
                <w:szCs w:val="18"/>
              </w:rPr>
            </w:pPr>
          </w:p>
        </w:tc>
        <w:tc>
          <w:tcPr>
            <w:tcW w:w="1738" w:type="dxa"/>
          </w:tcPr>
          <w:p w14:paraId="680701DC">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清仓回购</w:t>
            </w:r>
          </w:p>
        </w:tc>
        <w:tc>
          <w:tcPr>
            <w:tcW w:w="2463" w:type="dxa"/>
          </w:tcPr>
          <w:p w14:paraId="6FDF35F4">
            <w:pPr>
              <w:widowControl/>
              <w:jc w:val="right"/>
              <w:rPr>
                <w:rFonts w:ascii="Times New Roman" w:hAnsi="Times New Roman" w:eastAsia="华文楷体"/>
                <w:kern w:val="0"/>
                <w:sz w:val="18"/>
                <w:szCs w:val="18"/>
              </w:rPr>
            </w:pPr>
          </w:p>
        </w:tc>
        <w:tc>
          <w:tcPr>
            <w:tcW w:w="2608" w:type="dxa"/>
          </w:tcPr>
          <w:p w14:paraId="6125B418">
            <w:pPr>
              <w:widowControl/>
              <w:rPr>
                <w:rFonts w:ascii="Times New Roman" w:hAnsi="Times New Roman" w:eastAsia="华文楷体"/>
                <w:kern w:val="0"/>
                <w:sz w:val="18"/>
                <w:szCs w:val="18"/>
              </w:rPr>
            </w:pPr>
          </w:p>
        </w:tc>
      </w:tr>
      <w:tr w14:paraId="1DE81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extDirection w:val="tbRlV"/>
          </w:tcPr>
          <w:p w14:paraId="4D6E509D">
            <w:pPr>
              <w:widowControl/>
              <w:ind w:left="113" w:right="113"/>
              <w:jc w:val="center"/>
              <w:rPr>
                <w:rFonts w:ascii="Times New Roman" w:hAnsi="Times New Roman" w:eastAsia="华文楷体"/>
                <w:b/>
                <w:bCs/>
                <w:kern w:val="0"/>
                <w:sz w:val="18"/>
                <w:szCs w:val="18"/>
              </w:rPr>
            </w:pPr>
          </w:p>
        </w:tc>
        <w:tc>
          <w:tcPr>
            <w:tcW w:w="1014" w:type="dxa"/>
            <w:vMerge w:val="continue"/>
          </w:tcPr>
          <w:p w14:paraId="1C178841">
            <w:pPr>
              <w:widowControl/>
              <w:rPr>
                <w:rFonts w:ascii="Times New Roman" w:hAnsi="Times New Roman" w:eastAsia="华文楷体"/>
                <w:kern w:val="0"/>
                <w:sz w:val="18"/>
                <w:szCs w:val="18"/>
              </w:rPr>
            </w:pPr>
          </w:p>
        </w:tc>
        <w:tc>
          <w:tcPr>
            <w:tcW w:w="1738" w:type="dxa"/>
          </w:tcPr>
          <w:p w14:paraId="4DD2EAB2">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合计</w:t>
            </w:r>
          </w:p>
        </w:tc>
        <w:tc>
          <w:tcPr>
            <w:tcW w:w="2463" w:type="dxa"/>
          </w:tcPr>
          <w:p w14:paraId="2F829AA3">
            <w:pPr>
              <w:widowControl/>
              <w:jc w:val="right"/>
              <w:rPr>
                <w:rFonts w:ascii="Times New Roman" w:hAnsi="Times New Roman" w:eastAsia="华文楷体"/>
                <w:kern w:val="0"/>
                <w:sz w:val="18"/>
                <w:szCs w:val="18"/>
              </w:rPr>
            </w:pPr>
          </w:p>
        </w:tc>
        <w:tc>
          <w:tcPr>
            <w:tcW w:w="2608" w:type="dxa"/>
          </w:tcPr>
          <w:p w14:paraId="40732F3D">
            <w:pPr>
              <w:widowControl/>
              <w:rPr>
                <w:rFonts w:ascii="Times New Roman" w:hAnsi="Times New Roman" w:eastAsia="华文楷体"/>
                <w:kern w:val="0"/>
                <w:sz w:val="18"/>
                <w:szCs w:val="18"/>
              </w:rPr>
            </w:pPr>
          </w:p>
        </w:tc>
      </w:tr>
      <w:tr w14:paraId="545D1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extDirection w:val="tbRlV"/>
          </w:tcPr>
          <w:p w14:paraId="6AD57F30">
            <w:pPr>
              <w:widowControl/>
              <w:ind w:left="113" w:right="113"/>
              <w:jc w:val="center"/>
              <w:rPr>
                <w:rFonts w:ascii="Times New Roman" w:hAnsi="Times New Roman" w:eastAsia="华文楷体"/>
                <w:b/>
                <w:bCs/>
                <w:kern w:val="0"/>
                <w:sz w:val="18"/>
                <w:szCs w:val="18"/>
              </w:rPr>
            </w:pPr>
          </w:p>
        </w:tc>
        <w:tc>
          <w:tcPr>
            <w:tcW w:w="2752" w:type="dxa"/>
            <w:gridSpan w:val="2"/>
          </w:tcPr>
          <w:p w14:paraId="1B7D3E50">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其他收入</w:t>
            </w:r>
          </w:p>
        </w:tc>
        <w:tc>
          <w:tcPr>
            <w:tcW w:w="2463" w:type="dxa"/>
          </w:tcPr>
          <w:p w14:paraId="2ECC4FDE">
            <w:pPr>
              <w:widowControl/>
              <w:jc w:val="right"/>
              <w:rPr>
                <w:rFonts w:ascii="Times New Roman" w:hAnsi="Times New Roman" w:eastAsia="华文楷体"/>
                <w:kern w:val="0"/>
                <w:sz w:val="18"/>
                <w:szCs w:val="18"/>
              </w:rPr>
            </w:pPr>
          </w:p>
        </w:tc>
        <w:tc>
          <w:tcPr>
            <w:tcW w:w="2608" w:type="dxa"/>
          </w:tcPr>
          <w:p w14:paraId="6F20B217">
            <w:pPr>
              <w:widowControl/>
              <w:rPr>
                <w:rFonts w:ascii="Times New Roman" w:hAnsi="Times New Roman" w:eastAsia="华文楷体"/>
                <w:kern w:val="0"/>
                <w:sz w:val="18"/>
                <w:szCs w:val="18"/>
              </w:rPr>
            </w:pPr>
          </w:p>
        </w:tc>
      </w:tr>
      <w:tr w14:paraId="35D86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extDirection w:val="tbRlV"/>
          </w:tcPr>
          <w:p w14:paraId="114600E9">
            <w:pPr>
              <w:widowControl/>
              <w:ind w:left="113" w:right="113"/>
              <w:jc w:val="center"/>
              <w:rPr>
                <w:rFonts w:ascii="Times New Roman" w:hAnsi="Times New Roman" w:eastAsia="华文楷体"/>
                <w:b/>
                <w:bCs/>
                <w:kern w:val="0"/>
                <w:sz w:val="18"/>
                <w:szCs w:val="18"/>
              </w:rPr>
            </w:pPr>
          </w:p>
        </w:tc>
        <w:tc>
          <w:tcPr>
            <w:tcW w:w="2752" w:type="dxa"/>
            <w:gridSpan w:val="2"/>
          </w:tcPr>
          <w:p w14:paraId="459D95F4">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上期转存</w:t>
            </w:r>
          </w:p>
        </w:tc>
        <w:tc>
          <w:tcPr>
            <w:tcW w:w="2463" w:type="dxa"/>
          </w:tcPr>
          <w:p w14:paraId="498E8B08">
            <w:pPr>
              <w:widowControl/>
              <w:jc w:val="right"/>
              <w:rPr>
                <w:rFonts w:ascii="Times New Roman" w:hAnsi="Times New Roman" w:eastAsia="华文楷体"/>
                <w:kern w:val="0"/>
                <w:sz w:val="18"/>
                <w:szCs w:val="18"/>
              </w:rPr>
            </w:pPr>
          </w:p>
        </w:tc>
        <w:tc>
          <w:tcPr>
            <w:tcW w:w="2608" w:type="dxa"/>
          </w:tcPr>
          <w:p w14:paraId="7C788021">
            <w:pPr>
              <w:widowControl/>
              <w:rPr>
                <w:rFonts w:ascii="Times New Roman" w:hAnsi="Times New Roman" w:eastAsia="华文楷体"/>
                <w:kern w:val="0"/>
                <w:sz w:val="18"/>
                <w:szCs w:val="18"/>
              </w:rPr>
            </w:pPr>
          </w:p>
        </w:tc>
      </w:tr>
      <w:tr w14:paraId="146F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cBorders>
              <w:bottom w:val="single" w:color="auto" w:sz="4" w:space="0"/>
            </w:tcBorders>
            <w:textDirection w:val="tbRlV"/>
          </w:tcPr>
          <w:p w14:paraId="49852BDC">
            <w:pPr>
              <w:widowControl/>
              <w:ind w:left="113" w:right="113"/>
              <w:jc w:val="center"/>
              <w:rPr>
                <w:rFonts w:ascii="Times New Roman" w:hAnsi="Times New Roman" w:eastAsia="华文楷体"/>
                <w:b/>
                <w:bCs/>
                <w:kern w:val="0"/>
                <w:sz w:val="18"/>
                <w:szCs w:val="18"/>
              </w:rPr>
            </w:pPr>
          </w:p>
        </w:tc>
        <w:tc>
          <w:tcPr>
            <w:tcW w:w="2752" w:type="dxa"/>
            <w:gridSpan w:val="2"/>
            <w:tcBorders>
              <w:bottom w:val="single" w:color="auto" w:sz="4" w:space="0"/>
            </w:tcBorders>
          </w:tcPr>
          <w:p w14:paraId="14F07EC7">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合计</w:t>
            </w:r>
          </w:p>
        </w:tc>
        <w:tc>
          <w:tcPr>
            <w:tcW w:w="2463" w:type="dxa"/>
            <w:tcBorders>
              <w:bottom w:val="single" w:color="auto" w:sz="4" w:space="0"/>
            </w:tcBorders>
          </w:tcPr>
          <w:p w14:paraId="693C4253">
            <w:pPr>
              <w:widowControl/>
              <w:jc w:val="right"/>
              <w:rPr>
                <w:rFonts w:ascii="Times New Roman" w:hAnsi="Times New Roman" w:eastAsia="华文楷体"/>
                <w:kern w:val="0"/>
                <w:sz w:val="18"/>
                <w:szCs w:val="18"/>
              </w:rPr>
            </w:pPr>
          </w:p>
        </w:tc>
        <w:tc>
          <w:tcPr>
            <w:tcW w:w="2608" w:type="dxa"/>
            <w:tcBorders>
              <w:bottom w:val="single" w:color="auto" w:sz="4" w:space="0"/>
            </w:tcBorders>
          </w:tcPr>
          <w:p w14:paraId="47C96688">
            <w:pPr>
              <w:widowControl/>
              <w:rPr>
                <w:rFonts w:ascii="Times New Roman" w:hAnsi="Times New Roman" w:eastAsia="华文楷体"/>
                <w:kern w:val="0"/>
                <w:sz w:val="18"/>
                <w:szCs w:val="18"/>
              </w:rPr>
            </w:pPr>
          </w:p>
        </w:tc>
      </w:tr>
      <w:tr w14:paraId="150D1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tcBorders>
              <w:bottom w:val="single" w:color="auto" w:sz="4" w:space="0"/>
            </w:tcBorders>
          </w:tcPr>
          <w:p w14:paraId="0F5C24E7">
            <w:pPr>
              <w:widowControl/>
              <w:rPr>
                <w:rFonts w:ascii="Times New Roman" w:hAnsi="Times New Roman" w:eastAsia="华文楷体"/>
                <w:kern w:val="0"/>
                <w:sz w:val="18"/>
                <w:szCs w:val="18"/>
              </w:rPr>
            </w:pPr>
          </w:p>
        </w:tc>
        <w:tc>
          <w:tcPr>
            <w:tcW w:w="2752" w:type="dxa"/>
            <w:gridSpan w:val="2"/>
            <w:tcBorders>
              <w:bottom w:val="single" w:color="auto" w:sz="4" w:space="0"/>
            </w:tcBorders>
          </w:tcPr>
          <w:p w14:paraId="5D006D09">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科目</w:t>
            </w:r>
          </w:p>
        </w:tc>
        <w:tc>
          <w:tcPr>
            <w:tcW w:w="2463" w:type="dxa"/>
            <w:tcBorders>
              <w:bottom w:val="single" w:color="auto" w:sz="4" w:space="0"/>
            </w:tcBorders>
          </w:tcPr>
          <w:p w14:paraId="7463D82B">
            <w:pPr>
              <w:widowControl/>
              <w:jc w:val="center"/>
              <w:rPr>
                <w:rFonts w:ascii="Times New Roman" w:hAnsi="Times New Roman" w:eastAsia="华文楷体"/>
                <w:kern w:val="0"/>
                <w:sz w:val="18"/>
                <w:szCs w:val="18"/>
              </w:rPr>
            </w:pPr>
            <w:r>
              <w:rPr>
                <w:rFonts w:hint="eastAsia" w:ascii="Times New Roman" w:hAnsi="Times New Roman" w:eastAsia="华文楷体"/>
                <w:b/>
                <w:bCs/>
                <w:kern w:val="0"/>
                <w:sz w:val="18"/>
                <w:szCs w:val="18"/>
              </w:rPr>
              <w:t>上一收款期间</w:t>
            </w:r>
          </w:p>
        </w:tc>
        <w:tc>
          <w:tcPr>
            <w:tcW w:w="2608" w:type="dxa"/>
            <w:tcBorders>
              <w:bottom w:val="single" w:color="auto" w:sz="4" w:space="0"/>
            </w:tcBorders>
          </w:tcPr>
          <w:p w14:paraId="3568EB06">
            <w:pPr>
              <w:widowControl/>
              <w:jc w:val="center"/>
              <w:rPr>
                <w:rFonts w:ascii="Times New Roman" w:hAnsi="Times New Roman" w:eastAsia="华文楷体"/>
                <w:kern w:val="0"/>
                <w:sz w:val="18"/>
                <w:szCs w:val="18"/>
              </w:rPr>
            </w:pPr>
            <w:r>
              <w:rPr>
                <w:rFonts w:hint="eastAsia" w:ascii="Times New Roman" w:hAnsi="Times New Roman" w:eastAsia="华文楷体"/>
                <w:b/>
                <w:bCs/>
                <w:kern w:val="0"/>
                <w:sz w:val="18"/>
                <w:szCs w:val="18"/>
              </w:rPr>
              <w:t>本收款期间</w:t>
            </w:r>
          </w:p>
        </w:tc>
      </w:tr>
      <w:tr w14:paraId="395E9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restart"/>
          </w:tcPr>
          <w:p w14:paraId="31AB68AA">
            <w:pPr>
              <w:rPr>
                <w:rFonts w:ascii="Times New Roman" w:hAnsi="Times New Roman" w:eastAsia="华文楷体"/>
                <w:kern w:val="0"/>
                <w:sz w:val="18"/>
                <w:szCs w:val="18"/>
              </w:rPr>
            </w:pPr>
            <w:r>
              <w:rPr>
                <w:rFonts w:hint="eastAsia" w:ascii="Times New Roman" w:hAnsi="Times New Roman" w:eastAsia="华文楷体"/>
                <w:kern w:val="0"/>
                <w:sz w:val="18"/>
                <w:szCs w:val="18"/>
              </w:rPr>
              <w:t>税费支出</w:t>
            </w:r>
          </w:p>
        </w:tc>
        <w:tc>
          <w:tcPr>
            <w:tcW w:w="2752" w:type="dxa"/>
            <w:gridSpan w:val="2"/>
            <w:tcBorders>
              <w:bottom w:val="single" w:color="auto" w:sz="4" w:space="0"/>
            </w:tcBorders>
          </w:tcPr>
          <w:p w14:paraId="17DB11DC">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税收</w:t>
            </w:r>
          </w:p>
        </w:tc>
        <w:tc>
          <w:tcPr>
            <w:tcW w:w="2463" w:type="dxa"/>
            <w:tcBorders>
              <w:bottom w:val="single" w:color="auto" w:sz="4" w:space="0"/>
            </w:tcBorders>
          </w:tcPr>
          <w:p w14:paraId="4A48DF11">
            <w:pPr>
              <w:widowControl/>
              <w:jc w:val="center"/>
              <w:rPr>
                <w:rFonts w:ascii="Times New Roman" w:hAnsi="Times New Roman" w:eastAsia="华文楷体"/>
                <w:b/>
                <w:bCs/>
                <w:kern w:val="0"/>
                <w:sz w:val="18"/>
                <w:szCs w:val="18"/>
              </w:rPr>
            </w:pPr>
          </w:p>
        </w:tc>
        <w:tc>
          <w:tcPr>
            <w:tcW w:w="2608" w:type="dxa"/>
            <w:tcBorders>
              <w:bottom w:val="single" w:color="auto" w:sz="4" w:space="0"/>
            </w:tcBorders>
          </w:tcPr>
          <w:p w14:paraId="68A26737">
            <w:pPr>
              <w:widowControl/>
              <w:jc w:val="center"/>
              <w:rPr>
                <w:rFonts w:ascii="Times New Roman" w:hAnsi="Times New Roman" w:eastAsia="华文楷体"/>
                <w:b/>
                <w:bCs/>
                <w:kern w:val="0"/>
                <w:sz w:val="18"/>
                <w:szCs w:val="18"/>
              </w:rPr>
            </w:pPr>
          </w:p>
        </w:tc>
      </w:tr>
      <w:tr w14:paraId="0E248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cPr>
          <w:p w14:paraId="7C4307A3">
            <w:pPr>
              <w:widowControl/>
              <w:rPr>
                <w:rFonts w:ascii="Times New Roman" w:hAnsi="Times New Roman" w:eastAsia="华文楷体"/>
                <w:kern w:val="0"/>
                <w:sz w:val="18"/>
                <w:szCs w:val="18"/>
              </w:rPr>
            </w:pPr>
          </w:p>
        </w:tc>
        <w:tc>
          <w:tcPr>
            <w:tcW w:w="2752" w:type="dxa"/>
            <w:gridSpan w:val="2"/>
            <w:tcBorders>
              <w:bottom w:val="single" w:color="auto" w:sz="4" w:space="0"/>
            </w:tcBorders>
          </w:tcPr>
          <w:p w14:paraId="3288E3D0">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服务总费用</w:t>
            </w:r>
          </w:p>
        </w:tc>
        <w:tc>
          <w:tcPr>
            <w:tcW w:w="2463" w:type="dxa"/>
            <w:tcBorders>
              <w:bottom w:val="single" w:color="auto" w:sz="4" w:space="0"/>
            </w:tcBorders>
          </w:tcPr>
          <w:p w14:paraId="4898761B">
            <w:pPr>
              <w:widowControl/>
              <w:jc w:val="right"/>
              <w:rPr>
                <w:rFonts w:ascii="Times New Roman" w:hAnsi="Times New Roman" w:eastAsia="华文楷体"/>
                <w:b/>
                <w:bCs/>
                <w:kern w:val="0"/>
                <w:sz w:val="18"/>
                <w:szCs w:val="18"/>
              </w:rPr>
            </w:pPr>
          </w:p>
        </w:tc>
        <w:tc>
          <w:tcPr>
            <w:tcW w:w="2608" w:type="dxa"/>
            <w:tcBorders>
              <w:bottom w:val="single" w:color="auto" w:sz="4" w:space="0"/>
            </w:tcBorders>
          </w:tcPr>
          <w:p w14:paraId="1BF7D7F5">
            <w:pPr>
              <w:widowControl/>
              <w:rPr>
                <w:rFonts w:ascii="Times New Roman" w:hAnsi="Times New Roman" w:eastAsia="华文楷体"/>
                <w:b/>
                <w:bCs/>
                <w:kern w:val="0"/>
                <w:sz w:val="18"/>
                <w:szCs w:val="18"/>
              </w:rPr>
            </w:pPr>
          </w:p>
        </w:tc>
      </w:tr>
      <w:tr w14:paraId="6E372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cBorders>
              <w:bottom w:val="single" w:color="auto" w:sz="4" w:space="0"/>
            </w:tcBorders>
          </w:tcPr>
          <w:p w14:paraId="2A32D095">
            <w:pPr>
              <w:widowControl/>
              <w:rPr>
                <w:rFonts w:ascii="Times New Roman" w:hAnsi="Times New Roman" w:eastAsia="华文楷体"/>
                <w:kern w:val="0"/>
                <w:sz w:val="18"/>
                <w:szCs w:val="18"/>
              </w:rPr>
            </w:pPr>
          </w:p>
        </w:tc>
        <w:tc>
          <w:tcPr>
            <w:tcW w:w="2752" w:type="dxa"/>
            <w:gridSpan w:val="2"/>
            <w:tcBorders>
              <w:bottom w:val="single" w:color="auto" w:sz="4" w:space="0"/>
            </w:tcBorders>
          </w:tcPr>
          <w:p w14:paraId="7A78A4CA">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其他费用支出</w:t>
            </w:r>
          </w:p>
        </w:tc>
        <w:tc>
          <w:tcPr>
            <w:tcW w:w="2463" w:type="dxa"/>
            <w:tcBorders>
              <w:bottom w:val="single" w:color="auto" w:sz="4" w:space="0"/>
            </w:tcBorders>
          </w:tcPr>
          <w:p w14:paraId="0156D039">
            <w:pPr>
              <w:widowControl/>
              <w:jc w:val="right"/>
              <w:rPr>
                <w:rFonts w:ascii="Times New Roman" w:hAnsi="Times New Roman" w:eastAsia="华文楷体"/>
                <w:b/>
                <w:bCs/>
                <w:kern w:val="0"/>
                <w:sz w:val="18"/>
                <w:szCs w:val="18"/>
              </w:rPr>
            </w:pPr>
          </w:p>
        </w:tc>
        <w:tc>
          <w:tcPr>
            <w:tcW w:w="2608" w:type="dxa"/>
            <w:tcBorders>
              <w:bottom w:val="single" w:color="auto" w:sz="4" w:space="0"/>
            </w:tcBorders>
          </w:tcPr>
          <w:p w14:paraId="7A7ED17A">
            <w:pPr>
              <w:widowControl/>
              <w:rPr>
                <w:rFonts w:ascii="Times New Roman" w:hAnsi="Times New Roman" w:eastAsia="华文楷体"/>
                <w:b/>
                <w:bCs/>
                <w:kern w:val="0"/>
                <w:sz w:val="18"/>
                <w:szCs w:val="18"/>
              </w:rPr>
            </w:pPr>
          </w:p>
        </w:tc>
      </w:tr>
      <w:tr w14:paraId="63C55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restart"/>
          </w:tcPr>
          <w:p w14:paraId="55C86181">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证券兑付</w:t>
            </w:r>
          </w:p>
        </w:tc>
        <w:tc>
          <w:tcPr>
            <w:tcW w:w="2752" w:type="dxa"/>
            <w:gridSpan w:val="2"/>
            <w:tcBorders>
              <w:bottom w:val="single" w:color="auto" w:sz="4" w:space="0"/>
            </w:tcBorders>
          </w:tcPr>
          <w:p w14:paraId="03516F9A">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证券利息总支出</w:t>
            </w:r>
          </w:p>
        </w:tc>
        <w:tc>
          <w:tcPr>
            <w:tcW w:w="2463" w:type="dxa"/>
            <w:tcBorders>
              <w:bottom w:val="single" w:color="auto" w:sz="4" w:space="0"/>
            </w:tcBorders>
          </w:tcPr>
          <w:p w14:paraId="66332356">
            <w:pPr>
              <w:widowControl/>
              <w:jc w:val="right"/>
              <w:rPr>
                <w:rFonts w:ascii="Times New Roman" w:hAnsi="Times New Roman" w:eastAsia="华文楷体"/>
                <w:b/>
                <w:bCs/>
                <w:kern w:val="0"/>
                <w:sz w:val="18"/>
                <w:szCs w:val="18"/>
              </w:rPr>
            </w:pPr>
          </w:p>
        </w:tc>
        <w:tc>
          <w:tcPr>
            <w:tcW w:w="2608" w:type="dxa"/>
            <w:tcBorders>
              <w:bottom w:val="single" w:color="auto" w:sz="4" w:space="0"/>
            </w:tcBorders>
          </w:tcPr>
          <w:p w14:paraId="52DF8385">
            <w:pPr>
              <w:widowControl/>
              <w:rPr>
                <w:rFonts w:ascii="Times New Roman" w:hAnsi="Times New Roman" w:eastAsia="华文楷体"/>
                <w:b/>
                <w:bCs/>
                <w:kern w:val="0"/>
                <w:sz w:val="18"/>
                <w:szCs w:val="18"/>
              </w:rPr>
            </w:pPr>
          </w:p>
        </w:tc>
      </w:tr>
      <w:tr w14:paraId="3A344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cPr>
          <w:p w14:paraId="24C0E023">
            <w:pPr>
              <w:widowControl/>
              <w:rPr>
                <w:rFonts w:ascii="Times New Roman" w:hAnsi="Times New Roman" w:eastAsia="华文楷体"/>
                <w:kern w:val="0"/>
                <w:sz w:val="18"/>
                <w:szCs w:val="18"/>
              </w:rPr>
            </w:pPr>
          </w:p>
        </w:tc>
        <w:tc>
          <w:tcPr>
            <w:tcW w:w="2752" w:type="dxa"/>
            <w:gridSpan w:val="2"/>
            <w:tcBorders>
              <w:bottom w:val="single" w:color="auto" w:sz="4" w:space="0"/>
            </w:tcBorders>
          </w:tcPr>
          <w:p w14:paraId="16636E37">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证券本金总支出</w:t>
            </w:r>
          </w:p>
        </w:tc>
        <w:tc>
          <w:tcPr>
            <w:tcW w:w="2463" w:type="dxa"/>
            <w:tcBorders>
              <w:bottom w:val="single" w:color="auto" w:sz="4" w:space="0"/>
            </w:tcBorders>
          </w:tcPr>
          <w:p w14:paraId="7F88031A">
            <w:pPr>
              <w:widowControl/>
              <w:jc w:val="right"/>
              <w:rPr>
                <w:rFonts w:ascii="Times New Roman" w:hAnsi="Times New Roman" w:eastAsia="华文楷体"/>
                <w:b/>
                <w:bCs/>
                <w:kern w:val="0"/>
                <w:sz w:val="18"/>
                <w:szCs w:val="18"/>
              </w:rPr>
            </w:pPr>
          </w:p>
        </w:tc>
        <w:tc>
          <w:tcPr>
            <w:tcW w:w="2608" w:type="dxa"/>
            <w:tcBorders>
              <w:bottom w:val="single" w:color="auto" w:sz="4" w:space="0"/>
            </w:tcBorders>
          </w:tcPr>
          <w:p w14:paraId="1FEBF575">
            <w:pPr>
              <w:widowControl/>
              <w:rPr>
                <w:rFonts w:ascii="Times New Roman" w:hAnsi="Times New Roman" w:eastAsia="华文楷体"/>
                <w:b/>
                <w:bCs/>
                <w:kern w:val="0"/>
                <w:sz w:val="18"/>
                <w:szCs w:val="18"/>
              </w:rPr>
            </w:pPr>
          </w:p>
        </w:tc>
      </w:tr>
      <w:tr w14:paraId="3573E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continue"/>
            <w:tcBorders>
              <w:bottom w:val="single" w:color="auto" w:sz="4" w:space="0"/>
            </w:tcBorders>
          </w:tcPr>
          <w:p w14:paraId="0319A395">
            <w:pPr>
              <w:widowControl/>
              <w:rPr>
                <w:rFonts w:ascii="Times New Roman" w:hAnsi="Times New Roman" w:eastAsia="华文楷体"/>
                <w:kern w:val="0"/>
                <w:sz w:val="18"/>
                <w:szCs w:val="18"/>
              </w:rPr>
            </w:pPr>
          </w:p>
        </w:tc>
        <w:tc>
          <w:tcPr>
            <w:tcW w:w="2752" w:type="dxa"/>
            <w:gridSpan w:val="2"/>
            <w:tcBorders>
              <w:bottom w:val="single" w:color="auto" w:sz="4" w:space="0"/>
            </w:tcBorders>
          </w:tcPr>
          <w:p w14:paraId="09A53145">
            <w:pPr>
              <w:widowControl/>
              <w:rPr>
                <w:rFonts w:ascii="Times New Roman" w:hAnsi="Times New Roman" w:eastAsia="华文楷体"/>
                <w:kern w:val="0"/>
                <w:sz w:val="18"/>
                <w:szCs w:val="18"/>
              </w:rPr>
            </w:pPr>
            <w:r>
              <w:rPr>
                <w:rFonts w:hint="eastAsia" w:ascii="Times New Roman" w:hAnsi="Times New Roman" w:eastAsia="华文楷体"/>
                <w:kern w:val="0"/>
                <w:sz w:val="18"/>
                <w:szCs w:val="18"/>
              </w:rPr>
              <w:t>次级超额收益</w:t>
            </w:r>
          </w:p>
        </w:tc>
        <w:tc>
          <w:tcPr>
            <w:tcW w:w="2463" w:type="dxa"/>
            <w:tcBorders>
              <w:bottom w:val="single" w:color="auto" w:sz="4" w:space="0"/>
            </w:tcBorders>
          </w:tcPr>
          <w:p w14:paraId="215FE901">
            <w:pPr>
              <w:widowControl/>
              <w:jc w:val="right"/>
              <w:rPr>
                <w:rFonts w:ascii="Times New Roman" w:hAnsi="Times New Roman" w:eastAsia="华文楷体"/>
                <w:b/>
                <w:bCs/>
                <w:kern w:val="0"/>
                <w:sz w:val="18"/>
                <w:szCs w:val="18"/>
              </w:rPr>
            </w:pPr>
          </w:p>
        </w:tc>
        <w:tc>
          <w:tcPr>
            <w:tcW w:w="2608" w:type="dxa"/>
            <w:tcBorders>
              <w:bottom w:val="single" w:color="auto" w:sz="4" w:space="0"/>
            </w:tcBorders>
          </w:tcPr>
          <w:p w14:paraId="777A9A07">
            <w:pPr>
              <w:widowControl/>
              <w:rPr>
                <w:rFonts w:ascii="Times New Roman" w:hAnsi="Times New Roman" w:eastAsia="华文楷体"/>
                <w:b/>
                <w:bCs/>
                <w:kern w:val="0"/>
                <w:sz w:val="18"/>
                <w:szCs w:val="18"/>
              </w:rPr>
            </w:pPr>
          </w:p>
        </w:tc>
      </w:tr>
    </w:tbl>
    <w:p w14:paraId="3A1F93C7">
      <w:pPr>
        <w:rPr>
          <w:rFonts w:ascii="Times New Roman" w:hAnsi="Times New Roman" w:eastAsia="华文楷体"/>
        </w:rPr>
      </w:pPr>
    </w:p>
    <w:p w14:paraId="68751A8C">
      <w:pPr>
        <w:rPr>
          <w:rFonts w:ascii="Times New Roman" w:hAnsi="Times New Roman" w:eastAsia="华文楷体"/>
          <w:sz w:val="15"/>
          <w:szCs w:val="15"/>
        </w:rPr>
      </w:pPr>
      <w:r>
        <w:rPr>
          <w:rFonts w:ascii="Times New Roman" w:hAnsi="Times New Roman" w:eastAsia="华文楷体"/>
          <w:sz w:val="15"/>
          <w:szCs w:val="15"/>
        </w:rPr>
        <w:t>注1：其他费用支出发生的原因是【】</w:t>
      </w:r>
    </w:p>
    <w:p w14:paraId="6F886438">
      <w:pPr>
        <w:rPr>
          <w:rFonts w:ascii="Times New Roman" w:hAnsi="Times New Roman" w:eastAsia="华文楷体"/>
          <w:sz w:val="15"/>
          <w:szCs w:val="15"/>
        </w:rPr>
      </w:pPr>
      <w:r>
        <w:rPr>
          <w:rFonts w:ascii="Times New Roman" w:hAnsi="Times New Roman" w:eastAsia="华文楷体"/>
          <w:sz w:val="15"/>
          <w:szCs w:val="15"/>
        </w:rPr>
        <w:t>注2：证券利息包括次级资产支持证券期间收益（如有）。</w:t>
      </w:r>
    </w:p>
    <w:p w14:paraId="5E799FBE">
      <w:pPr>
        <w:rPr>
          <w:rFonts w:ascii="Times New Roman" w:hAnsi="Times New Roman" w:eastAsia="华文楷体"/>
        </w:rPr>
      </w:pPr>
      <w:r>
        <w:rPr>
          <w:rFonts w:ascii="Times New Roman" w:hAnsi="Times New Roman" w:eastAsia="华文楷体"/>
        </w:rPr>
        <w:br w:type="page"/>
      </w:r>
    </w:p>
    <w:tbl>
      <w:tblPr>
        <w:tblStyle w:val="30"/>
        <w:tblW w:w="847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802"/>
        <w:gridCol w:w="1842"/>
        <w:gridCol w:w="1701"/>
        <w:gridCol w:w="2127"/>
      </w:tblGrid>
      <w:tr w14:paraId="2E7383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4"/>
            <w:tcBorders>
              <w:bottom w:val="single" w:color="auto" w:sz="4" w:space="0"/>
            </w:tcBorders>
          </w:tcPr>
          <w:p w14:paraId="7AF22F56">
            <w:pPr>
              <w:jc w:val="center"/>
              <w:rPr>
                <w:rFonts w:ascii="Times New Roman" w:hAnsi="Times New Roman" w:eastAsia="华文楷体"/>
                <w:b/>
                <w:sz w:val="28"/>
              </w:rPr>
            </w:pPr>
            <w:r>
              <w:rPr>
                <w:rFonts w:ascii="Times New Roman" w:hAnsi="Times New Roman" w:eastAsia="华文楷体"/>
                <w:b/>
                <w:sz w:val="28"/>
              </w:rPr>
              <w:t>【信托名称】</w:t>
            </w:r>
          </w:p>
          <w:p w14:paraId="380EE4FD">
            <w:pPr>
              <w:jc w:val="center"/>
              <w:rPr>
                <w:rFonts w:ascii="Times New Roman" w:hAnsi="Times New Roman" w:eastAsia="华文楷体"/>
                <w:b/>
              </w:rPr>
            </w:pPr>
            <w:r>
              <w:rPr>
                <w:rFonts w:ascii="Times New Roman" w:hAnsi="Times New Roman" w:eastAsia="华文楷体"/>
                <w:b/>
                <w:sz w:val="28"/>
              </w:rPr>
              <w:t>受托机构月度/年度报告</w:t>
            </w:r>
          </w:p>
        </w:tc>
      </w:tr>
      <w:tr w14:paraId="1F27FB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4"/>
            <w:tcBorders>
              <w:top w:val="single" w:color="auto" w:sz="4" w:space="0"/>
              <w:bottom w:val="single" w:color="auto" w:sz="4" w:space="0"/>
            </w:tcBorders>
          </w:tcPr>
          <w:p w14:paraId="2083959A">
            <w:pPr>
              <w:rPr>
                <w:rFonts w:ascii="Times New Roman" w:hAnsi="Times New Roman" w:eastAsia="华文楷体"/>
                <w:b/>
              </w:rPr>
            </w:pPr>
            <w:r>
              <w:rPr>
                <w:rFonts w:ascii="Times New Roman" w:hAnsi="Times New Roman" w:eastAsia="华文楷体"/>
                <w:b/>
              </w:rPr>
              <w:t>四、基础资产存续期总体信息</w:t>
            </w:r>
          </w:p>
          <w:p w14:paraId="730EF05C">
            <w:pPr>
              <w:rPr>
                <w:rFonts w:ascii="Times New Roman" w:hAnsi="Times New Roman" w:eastAsia="华文楷体"/>
                <w:b/>
              </w:rPr>
            </w:pPr>
            <w:r>
              <w:rPr>
                <w:rFonts w:ascii="Times New Roman" w:hAnsi="Times New Roman" w:eastAsia="华文楷体"/>
                <w:b/>
              </w:rPr>
              <w:t>（一）入池资产笔数与金额特征</w:t>
            </w:r>
          </w:p>
        </w:tc>
      </w:tr>
      <w:tr w14:paraId="4BD30B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5BDC9E14">
            <w:pPr>
              <w:rPr>
                <w:rFonts w:ascii="Times New Roman" w:hAnsi="Times New Roman" w:eastAsia="华文楷体"/>
              </w:rPr>
            </w:pPr>
          </w:p>
        </w:tc>
        <w:tc>
          <w:tcPr>
            <w:tcW w:w="1842" w:type="dxa"/>
            <w:tcBorders>
              <w:top w:val="single" w:color="auto" w:sz="4" w:space="0"/>
              <w:left w:val="single" w:color="auto" w:sz="4" w:space="0"/>
              <w:bottom w:val="single" w:color="auto" w:sz="4" w:space="0"/>
              <w:right w:val="single" w:color="auto" w:sz="4" w:space="0"/>
            </w:tcBorders>
          </w:tcPr>
          <w:p w14:paraId="39A95B34">
            <w:pPr>
              <w:jc w:val="center"/>
              <w:rPr>
                <w:rFonts w:ascii="Times New Roman" w:hAnsi="Times New Roman" w:eastAsia="华文楷体"/>
                <w:b/>
                <w:sz w:val="18"/>
                <w:szCs w:val="18"/>
              </w:rPr>
            </w:pPr>
            <w:r>
              <w:rPr>
                <w:rFonts w:ascii="Times New Roman" w:hAnsi="Times New Roman" w:eastAsia="华文楷体"/>
                <w:b/>
                <w:sz w:val="18"/>
                <w:szCs w:val="18"/>
              </w:rPr>
              <w:t>初始起算日</w:t>
            </w:r>
          </w:p>
        </w:tc>
        <w:tc>
          <w:tcPr>
            <w:tcW w:w="1701" w:type="dxa"/>
            <w:tcBorders>
              <w:top w:val="single" w:color="auto" w:sz="4" w:space="0"/>
              <w:left w:val="single" w:color="auto" w:sz="4" w:space="0"/>
              <w:bottom w:val="single" w:color="auto" w:sz="4" w:space="0"/>
              <w:right w:val="single" w:color="auto" w:sz="4" w:space="0"/>
            </w:tcBorders>
          </w:tcPr>
          <w:p w14:paraId="311CAFFC">
            <w:pPr>
              <w:rPr>
                <w:rFonts w:ascii="Times New Roman" w:hAnsi="Times New Roman" w:eastAsia="华文楷体"/>
                <w:b/>
                <w:sz w:val="18"/>
                <w:szCs w:val="18"/>
              </w:rPr>
            </w:pPr>
            <w:r>
              <w:rPr>
                <w:rFonts w:ascii="Times New Roman" w:hAnsi="Times New Roman" w:eastAsia="华文楷体"/>
                <w:b/>
                <w:sz w:val="18"/>
                <w:szCs w:val="18"/>
              </w:rPr>
              <w:t>本期期末</w:t>
            </w:r>
          </w:p>
        </w:tc>
        <w:tc>
          <w:tcPr>
            <w:tcW w:w="2127" w:type="dxa"/>
            <w:tcBorders>
              <w:top w:val="single" w:color="auto" w:sz="4" w:space="0"/>
              <w:left w:val="single" w:color="auto" w:sz="4" w:space="0"/>
              <w:bottom w:val="single" w:color="auto" w:sz="4" w:space="0"/>
            </w:tcBorders>
          </w:tcPr>
          <w:p w14:paraId="34982513">
            <w:pPr>
              <w:rPr>
                <w:rFonts w:ascii="Times New Roman" w:hAnsi="Times New Roman" w:eastAsia="华文楷体"/>
                <w:b/>
                <w:sz w:val="18"/>
                <w:szCs w:val="18"/>
              </w:rPr>
            </w:pPr>
            <w:r>
              <w:rPr>
                <w:rFonts w:ascii="Times New Roman" w:hAnsi="Times New Roman" w:eastAsia="华文楷体"/>
                <w:b/>
                <w:sz w:val="18"/>
                <w:szCs w:val="18"/>
              </w:rPr>
              <w:t>上一期期末</w:t>
            </w:r>
          </w:p>
        </w:tc>
      </w:tr>
      <w:tr w14:paraId="527844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7A602C1C">
            <w:pPr>
              <w:rPr>
                <w:rFonts w:ascii="Times New Roman" w:hAnsi="Times New Roman" w:eastAsia="华文楷体"/>
                <w:sz w:val="18"/>
              </w:rPr>
            </w:pPr>
            <w:r>
              <w:rPr>
                <w:rFonts w:ascii="Times New Roman" w:hAnsi="Times New Roman" w:eastAsia="华文楷体"/>
                <w:sz w:val="18"/>
              </w:rPr>
              <w:t>借款人总数</w:t>
            </w:r>
          </w:p>
        </w:tc>
        <w:tc>
          <w:tcPr>
            <w:tcW w:w="1842" w:type="dxa"/>
            <w:tcBorders>
              <w:top w:val="single" w:color="auto" w:sz="4" w:space="0"/>
              <w:left w:val="single" w:color="auto" w:sz="4" w:space="0"/>
              <w:bottom w:val="single" w:color="auto" w:sz="4" w:space="0"/>
              <w:right w:val="single" w:color="auto" w:sz="4" w:space="0"/>
            </w:tcBorders>
          </w:tcPr>
          <w:p w14:paraId="568936EA">
            <w:pPr>
              <w:rPr>
                <w:rFonts w:ascii="Times New Roman" w:hAnsi="Times New Roman" w:eastAsia="华文楷体"/>
                <w:sz w:val="18"/>
                <w:szCs w:val="18"/>
              </w:rPr>
            </w:pPr>
          </w:p>
        </w:tc>
        <w:tc>
          <w:tcPr>
            <w:tcW w:w="1701" w:type="dxa"/>
            <w:tcBorders>
              <w:top w:val="single" w:color="auto" w:sz="4" w:space="0"/>
              <w:left w:val="single" w:color="auto" w:sz="4" w:space="0"/>
              <w:bottom w:val="single" w:color="auto" w:sz="4" w:space="0"/>
              <w:right w:val="single" w:color="auto" w:sz="4" w:space="0"/>
            </w:tcBorders>
          </w:tcPr>
          <w:p w14:paraId="690C9BE0">
            <w:pPr>
              <w:rPr>
                <w:rFonts w:ascii="Times New Roman" w:hAnsi="Times New Roman" w:eastAsia="华文楷体"/>
                <w:sz w:val="18"/>
                <w:szCs w:val="18"/>
              </w:rPr>
            </w:pPr>
          </w:p>
        </w:tc>
        <w:tc>
          <w:tcPr>
            <w:tcW w:w="2127" w:type="dxa"/>
            <w:tcBorders>
              <w:top w:val="single" w:color="auto" w:sz="4" w:space="0"/>
              <w:left w:val="single" w:color="auto" w:sz="4" w:space="0"/>
              <w:bottom w:val="single" w:color="auto" w:sz="4" w:space="0"/>
            </w:tcBorders>
          </w:tcPr>
          <w:p w14:paraId="23C4DDA8">
            <w:pPr>
              <w:rPr>
                <w:rFonts w:ascii="Times New Roman" w:hAnsi="Times New Roman" w:eastAsia="华文楷体"/>
                <w:sz w:val="18"/>
                <w:szCs w:val="18"/>
              </w:rPr>
            </w:pPr>
          </w:p>
        </w:tc>
      </w:tr>
      <w:tr w14:paraId="6B865A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6AE80357">
            <w:pPr>
              <w:rPr>
                <w:rFonts w:ascii="Times New Roman" w:hAnsi="Times New Roman" w:eastAsia="华文楷体"/>
                <w:sz w:val="18"/>
              </w:rPr>
            </w:pPr>
            <w:r>
              <w:rPr>
                <w:rFonts w:ascii="Times New Roman" w:hAnsi="Times New Roman" w:eastAsia="华文楷体"/>
                <w:sz w:val="18"/>
              </w:rPr>
              <w:t>未清偿完毕的贷款笔数</w:t>
            </w:r>
          </w:p>
        </w:tc>
        <w:tc>
          <w:tcPr>
            <w:tcW w:w="1842" w:type="dxa"/>
            <w:tcBorders>
              <w:top w:val="single" w:color="auto" w:sz="4" w:space="0"/>
              <w:left w:val="single" w:color="auto" w:sz="4" w:space="0"/>
              <w:bottom w:val="single" w:color="auto" w:sz="4" w:space="0"/>
              <w:right w:val="single" w:color="auto" w:sz="4" w:space="0"/>
            </w:tcBorders>
          </w:tcPr>
          <w:p w14:paraId="61D50695">
            <w:pPr>
              <w:rPr>
                <w:rFonts w:ascii="Times New Roman" w:hAnsi="Times New Roman" w:eastAsia="华文楷体"/>
                <w:sz w:val="18"/>
                <w:szCs w:val="18"/>
              </w:rPr>
            </w:pPr>
          </w:p>
        </w:tc>
        <w:tc>
          <w:tcPr>
            <w:tcW w:w="1701" w:type="dxa"/>
            <w:tcBorders>
              <w:top w:val="single" w:color="auto" w:sz="4" w:space="0"/>
              <w:left w:val="single" w:color="auto" w:sz="4" w:space="0"/>
              <w:bottom w:val="single" w:color="auto" w:sz="4" w:space="0"/>
              <w:right w:val="single" w:color="auto" w:sz="4" w:space="0"/>
            </w:tcBorders>
          </w:tcPr>
          <w:p w14:paraId="446A6436">
            <w:pPr>
              <w:rPr>
                <w:rFonts w:ascii="Times New Roman" w:hAnsi="Times New Roman" w:eastAsia="华文楷体"/>
                <w:sz w:val="18"/>
                <w:szCs w:val="18"/>
              </w:rPr>
            </w:pPr>
          </w:p>
        </w:tc>
        <w:tc>
          <w:tcPr>
            <w:tcW w:w="2127" w:type="dxa"/>
            <w:tcBorders>
              <w:top w:val="single" w:color="auto" w:sz="4" w:space="0"/>
              <w:left w:val="single" w:color="auto" w:sz="4" w:space="0"/>
              <w:bottom w:val="single" w:color="auto" w:sz="4" w:space="0"/>
            </w:tcBorders>
          </w:tcPr>
          <w:p w14:paraId="40933C8A">
            <w:pPr>
              <w:rPr>
                <w:rFonts w:ascii="Times New Roman" w:hAnsi="Times New Roman" w:eastAsia="华文楷体"/>
                <w:sz w:val="18"/>
                <w:szCs w:val="18"/>
              </w:rPr>
            </w:pPr>
          </w:p>
        </w:tc>
      </w:tr>
      <w:tr w14:paraId="44602E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1C4D3DC0">
            <w:pPr>
              <w:rPr>
                <w:rFonts w:ascii="Times New Roman" w:hAnsi="Times New Roman" w:eastAsia="华文楷体"/>
                <w:sz w:val="18"/>
              </w:rPr>
            </w:pPr>
            <w:r>
              <w:rPr>
                <w:rFonts w:ascii="Times New Roman" w:hAnsi="Times New Roman" w:eastAsia="华文楷体"/>
                <w:sz w:val="18"/>
              </w:rPr>
              <w:t>资产池未偿本金余额（人民币，元）</w:t>
            </w:r>
          </w:p>
        </w:tc>
        <w:tc>
          <w:tcPr>
            <w:tcW w:w="1842" w:type="dxa"/>
            <w:tcBorders>
              <w:top w:val="single" w:color="auto" w:sz="4" w:space="0"/>
              <w:left w:val="single" w:color="auto" w:sz="4" w:space="0"/>
              <w:bottom w:val="single" w:color="auto" w:sz="4" w:space="0"/>
              <w:right w:val="single" w:color="auto" w:sz="4" w:space="0"/>
            </w:tcBorders>
          </w:tcPr>
          <w:p w14:paraId="5A46B6E8">
            <w:pPr>
              <w:rPr>
                <w:rFonts w:ascii="Times New Roman" w:hAnsi="Times New Roman" w:eastAsia="华文楷体"/>
                <w:sz w:val="18"/>
                <w:szCs w:val="18"/>
              </w:rPr>
            </w:pPr>
          </w:p>
        </w:tc>
        <w:tc>
          <w:tcPr>
            <w:tcW w:w="1701" w:type="dxa"/>
            <w:tcBorders>
              <w:top w:val="single" w:color="auto" w:sz="4" w:space="0"/>
              <w:left w:val="single" w:color="auto" w:sz="4" w:space="0"/>
              <w:bottom w:val="single" w:color="auto" w:sz="4" w:space="0"/>
              <w:right w:val="single" w:color="auto" w:sz="4" w:space="0"/>
            </w:tcBorders>
          </w:tcPr>
          <w:p w14:paraId="65E3B90C">
            <w:pPr>
              <w:rPr>
                <w:rFonts w:ascii="Times New Roman" w:hAnsi="Times New Roman" w:eastAsia="华文楷体"/>
                <w:sz w:val="18"/>
                <w:szCs w:val="18"/>
              </w:rPr>
            </w:pPr>
          </w:p>
        </w:tc>
        <w:tc>
          <w:tcPr>
            <w:tcW w:w="2127" w:type="dxa"/>
            <w:tcBorders>
              <w:top w:val="single" w:color="auto" w:sz="4" w:space="0"/>
              <w:left w:val="single" w:color="auto" w:sz="4" w:space="0"/>
              <w:bottom w:val="single" w:color="auto" w:sz="4" w:space="0"/>
            </w:tcBorders>
          </w:tcPr>
          <w:p w14:paraId="6C3EE83C">
            <w:pPr>
              <w:rPr>
                <w:rFonts w:ascii="Times New Roman" w:hAnsi="Times New Roman" w:eastAsia="华文楷体"/>
                <w:sz w:val="18"/>
                <w:szCs w:val="18"/>
              </w:rPr>
            </w:pPr>
          </w:p>
        </w:tc>
      </w:tr>
      <w:tr w14:paraId="7DA97B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38EC47E5">
            <w:pPr>
              <w:rPr>
                <w:rFonts w:ascii="Times New Roman" w:hAnsi="Times New Roman" w:eastAsia="华文楷体"/>
                <w:sz w:val="18"/>
              </w:rPr>
            </w:pPr>
            <w:r>
              <w:rPr>
                <w:rFonts w:ascii="Times New Roman" w:hAnsi="Times New Roman" w:eastAsia="华文楷体"/>
                <w:sz w:val="18"/>
              </w:rPr>
              <w:t>单笔贷款最高本金余额（人民币，元）</w:t>
            </w:r>
          </w:p>
        </w:tc>
        <w:tc>
          <w:tcPr>
            <w:tcW w:w="1842" w:type="dxa"/>
            <w:tcBorders>
              <w:top w:val="single" w:color="auto" w:sz="4" w:space="0"/>
              <w:left w:val="single" w:color="auto" w:sz="4" w:space="0"/>
              <w:bottom w:val="single" w:color="auto" w:sz="4" w:space="0"/>
              <w:right w:val="single" w:color="auto" w:sz="4" w:space="0"/>
            </w:tcBorders>
          </w:tcPr>
          <w:p w14:paraId="5B8EDEE0">
            <w:pPr>
              <w:rPr>
                <w:rFonts w:ascii="Times New Roman" w:hAnsi="Times New Roman" w:eastAsia="华文楷体"/>
                <w:sz w:val="18"/>
                <w:szCs w:val="18"/>
              </w:rPr>
            </w:pPr>
          </w:p>
        </w:tc>
        <w:tc>
          <w:tcPr>
            <w:tcW w:w="1701" w:type="dxa"/>
            <w:tcBorders>
              <w:top w:val="single" w:color="auto" w:sz="4" w:space="0"/>
              <w:left w:val="single" w:color="auto" w:sz="4" w:space="0"/>
              <w:bottom w:val="single" w:color="auto" w:sz="4" w:space="0"/>
              <w:right w:val="single" w:color="auto" w:sz="4" w:space="0"/>
            </w:tcBorders>
          </w:tcPr>
          <w:p w14:paraId="13092A8B">
            <w:pPr>
              <w:rPr>
                <w:rFonts w:ascii="Times New Roman" w:hAnsi="Times New Roman" w:eastAsia="华文楷体"/>
                <w:sz w:val="18"/>
                <w:szCs w:val="18"/>
              </w:rPr>
            </w:pPr>
          </w:p>
        </w:tc>
        <w:tc>
          <w:tcPr>
            <w:tcW w:w="2127" w:type="dxa"/>
            <w:tcBorders>
              <w:top w:val="single" w:color="auto" w:sz="4" w:space="0"/>
              <w:left w:val="single" w:color="auto" w:sz="4" w:space="0"/>
              <w:bottom w:val="single" w:color="auto" w:sz="4" w:space="0"/>
            </w:tcBorders>
          </w:tcPr>
          <w:p w14:paraId="61B1D0F0">
            <w:pPr>
              <w:rPr>
                <w:rFonts w:ascii="Times New Roman" w:hAnsi="Times New Roman" w:eastAsia="华文楷体"/>
                <w:sz w:val="18"/>
                <w:szCs w:val="18"/>
              </w:rPr>
            </w:pPr>
          </w:p>
        </w:tc>
      </w:tr>
      <w:tr w14:paraId="41CF40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69E46E35">
            <w:pPr>
              <w:rPr>
                <w:rFonts w:ascii="Times New Roman" w:hAnsi="Times New Roman" w:eastAsia="华文楷体"/>
                <w:sz w:val="18"/>
              </w:rPr>
            </w:pPr>
            <w:r>
              <w:rPr>
                <w:rFonts w:ascii="Times New Roman" w:hAnsi="Times New Roman" w:eastAsia="华文楷体"/>
                <w:sz w:val="18"/>
              </w:rPr>
              <w:t>单笔贷款平均本金余额（人民币，元）</w:t>
            </w:r>
          </w:p>
        </w:tc>
        <w:tc>
          <w:tcPr>
            <w:tcW w:w="1842" w:type="dxa"/>
            <w:tcBorders>
              <w:top w:val="single" w:color="auto" w:sz="4" w:space="0"/>
              <w:left w:val="single" w:color="auto" w:sz="4" w:space="0"/>
              <w:bottom w:val="single" w:color="auto" w:sz="4" w:space="0"/>
              <w:right w:val="single" w:color="auto" w:sz="4" w:space="0"/>
            </w:tcBorders>
          </w:tcPr>
          <w:p w14:paraId="7B64D878">
            <w:pPr>
              <w:rPr>
                <w:rFonts w:ascii="Times New Roman" w:hAnsi="Times New Roman" w:eastAsia="华文楷体"/>
                <w:sz w:val="18"/>
                <w:szCs w:val="18"/>
              </w:rPr>
            </w:pPr>
          </w:p>
        </w:tc>
        <w:tc>
          <w:tcPr>
            <w:tcW w:w="1701" w:type="dxa"/>
            <w:tcBorders>
              <w:top w:val="single" w:color="auto" w:sz="4" w:space="0"/>
              <w:left w:val="single" w:color="auto" w:sz="4" w:space="0"/>
              <w:bottom w:val="single" w:color="auto" w:sz="4" w:space="0"/>
              <w:right w:val="single" w:color="auto" w:sz="4" w:space="0"/>
            </w:tcBorders>
          </w:tcPr>
          <w:p w14:paraId="66D15F0A">
            <w:pPr>
              <w:rPr>
                <w:rFonts w:ascii="Times New Roman" w:hAnsi="Times New Roman" w:eastAsia="华文楷体"/>
                <w:sz w:val="18"/>
                <w:szCs w:val="18"/>
              </w:rPr>
            </w:pPr>
          </w:p>
        </w:tc>
        <w:tc>
          <w:tcPr>
            <w:tcW w:w="2127" w:type="dxa"/>
            <w:tcBorders>
              <w:top w:val="single" w:color="auto" w:sz="4" w:space="0"/>
              <w:left w:val="single" w:color="auto" w:sz="4" w:space="0"/>
              <w:bottom w:val="single" w:color="auto" w:sz="4" w:space="0"/>
            </w:tcBorders>
          </w:tcPr>
          <w:p w14:paraId="0937EEC2">
            <w:pPr>
              <w:rPr>
                <w:rFonts w:ascii="Times New Roman" w:hAnsi="Times New Roman" w:eastAsia="华文楷体"/>
                <w:sz w:val="18"/>
                <w:szCs w:val="18"/>
              </w:rPr>
            </w:pPr>
          </w:p>
        </w:tc>
      </w:tr>
      <w:tr w14:paraId="3C0E05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46D9EA33">
            <w:pPr>
              <w:rPr>
                <w:rFonts w:ascii="Times New Roman" w:hAnsi="Times New Roman" w:eastAsia="华文楷体"/>
                <w:sz w:val="18"/>
              </w:rPr>
            </w:pPr>
            <w:r>
              <w:rPr>
                <w:rFonts w:ascii="Times New Roman" w:hAnsi="Times New Roman" w:eastAsia="华文楷体"/>
                <w:sz w:val="18"/>
              </w:rPr>
              <w:t>合计</w:t>
            </w:r>
          </w:p>
        </w:tc>
        <w:tc>
          <w:tcPr>
            <w:tcW w:w="1842" w:type="dxa"/>
            <w:tcBorders>
              <w:top w:val="single" w:color="auto" w:sz="4" w:space="0"/>
              <w:left w:val="single" w:color="auto" w:sz="4" w:space="0"/>
              <w:bottom w:val="single" w:color="auto" w:sz="4" w:space="0"/>
              <w:right w:val="single" w:color="auto" w:sz="4" w:space="0"/>
            </w:tcBorders>
          </w:tcPr>
          <w:p w14:paraId="30FA8371">
            <w:pPr>
              <w:rPr>
                <w:rFonts w:ascii="Times New Roman" w:hAnsi="Times New Roman" w:eastAsia="华文楷体"/>
                <w:sz w:val="18"/>
                <w:szCs w:val="18"/>
              </w:rPr>
            </w:pPr>
          </w:p>
        </w:tc>
        <w:tc>
          <w:tcPr>
            <w:tcW w:w="1701" w:type="dxa"/>
            <w:tcBorders>
              <w:top w:val="single" w:color="auto" w:sz="4" w:space="0"/>
              <w:left w:val="single" w:color="auto" w:sz="4" w:space="0"/>
              <w:bottom w:val="single" w:color="auto" w:sz="4" w:space="0"/>
              <w:right w:val="single" w:color="auto" w:sz="4" w:space="0"/>
            </w:tcBorders>
          </w:tcPr>
          <w:p w14:paraId="15914285">
            <w:pPr>
              <w:rPr>
                <w:rFonts w:ascii="Times New Roman" w:hAnsi="Times New Roman" w:eastAsia="华文楷体"/>
                <w:sz w:val="18"/>
                <w:szCs w:val="18"/>
              </w:rPr>
            </w:pPr>
          </w:p>
        </w:tc>
        <w:tc>
          <w:tcPr>
            <w:tcW w:w="2127" w:type="dxa"/>
            <w:tcBorders>
              <w:top w:val="single" w:color="auto" w:sz="4" w:space="0"/>
              <w:left w:val="single" w:color="auto" w:sz="4" w:space="0"/>
              <w:bottom w:val="single" w:color="auto" w:sz="4" w:space="0"/>
            </w:tcBorders>
          </w:tcPr>
          <w:p w14:paraId="00B1B233">
            <w:pPr>
              <w:rPr>
                <w:rFonts w:ascii="Times New Roman" w:hAnsi="Times New Roman" w:eastAsia="华文楷体"/>
                <w:sz w:val="18"/>
                <w:szCs w:val="18"/>
              </w:rPr>
            </w:pPr>
          </w:p>
        </w:tc>
      </w:tr>
      <w:tr w14:paraId="7BC758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nil"/>
              <w:right w:val="nil"/>
            </w:tcBorders>
          </w:tcPr>
          <w:p w14:paraId="00FF6B93">
            <w:pPr>
              <w:rPr>
                <w:rFonts w:ascii="Times New Roman" w:hAnsi="Times New Roman" w:eastAsia="华文楷体"/>
                <w:sz w:val="18"/>
              </w:rPr>
            </w:pPr>
          </w:p>
        </w:tc>
        <w:tc>
          <w:tcPr>
            <w:tcW w:w="1842" w:type="dxa"/>
            <w:tcBorders>
              <w:top w:val="single" w:color="auto" w:sz="4" w:space="0"/>
              <w:left w:val="nil"/>
              <w:bottom w:val="nil"/>
              <w:right w:val="nil"/>
            </w:tcBorders>
          </w:tcPr>
          <w:p w14:paraId="61CE96A8">
            <w:pPr>
              <w:rPr>
                <w:rFonts w:ascii="Times New Roman" w:hAnsi="Times New Roman" w:eastAsia="华文楷体"/>
                <w:sz w:val="18"/>
                <w:szCs w:val="18"/>
              </w:rPr>
            </w:pPr>
          </w:p>
        </w:tc>
        <w:tc>
          <w:tcPr>
            <w:tcW w:w="1701" w:type="dxa"/>
            <w:tcBorders>
              <w:top w:val="single" w:color="auto" w:sz="4" w:space="0"/>
              <w:left w:val="nil"/>
              <w:bottom w:val="nil"/>
              <w:right w:val="nil"/>
            </w:tcBorders>
          </w:tcPr>
          <w:p w14:paraId="4D7683F9">
            <w:pPr>
              <w:rPr>
                <w:rFonts w:ascii="Times New Roman" w:hAnsi="Times New Roman" w:eastAsia="华文楷体"/>
                <w:sz w:val="18"/>
                <w:szCs w:val="18"/>
              </w:rPr>
            </w:pPr>
          </w:p>
        </w:tc>
        <w:tc>
          <w:tcPr>
            <w:tcW w:w="2127" w:type="dxa"/>
            <w:tcBorders>
              <w:top w:val="single" w:color="auto" w:sz="4" w:space="0"/>
              <w:left w:val="nil"/>
              <w:bottom w:val="nil"/>
            </w:tcBorders>
          </w:tcPr>
          <w:p w14:paraId="56B1BDB3">
            <w:pPr>
              <w:rPr>
                <w:rFonts w:ascii="Times New Roman" w:hAnsi="Times New Roman" w:eastAsia="华文楷体"/>
                <w:sz w:val="18"/>
                <w:szCs w:val="18"/>
              </w:rPr>
            </w:pPr>
          </w:p>
        </w:tc>
      </w:tr>
      <w:tr w14:paraId="7C20F1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nil"/>
              <w:bottom w:val="single" w:color="auto" w:sz="4" w:space="0"/>
              <w:right w:val="nil"/>
            </w:tcBorders>
          </w:tcPr>
          <w:p w14:paraId="299A92CC">
            <w:pPr>
              <w:rPr>
                <w:rFonts w:ascii="Times New Roman" w:hAnsi="Times New Roman" w:eastAsia="华文楷体"/>
                <w:b/>
                <w:sz w:val="18"/>
              </w:rPr>
            </w:pPr>
            <w:r>
              <w:rPr>
                <w:rFonts w:ascii="Times New Roman" w:hAnsi="Times New Roman" w:eastAsia="华文楷体"/>
                <w:b/>
                <w:sz w:val="18"/>
              </w:rPr>
              <w:t>（二）入池资产期限特征</w:t>
            </w:r>
          </w:p>
        </w:tc>
        <w:tc>
          <w:tcPr>
            <w:tcW w:w="1842" w:type="dxa"/>
            <w:tcBorders>
              <w:top w:val="nil"/>
              <w:left w:val="nil"/>
              <w:bottom w:val="single" w:color="auto" w:sz="4" w:space="0"/>
              <w:right w:val="nil"/>
            </w:tcBorders>
          </w:tcPr>
          <w:p w14:paraId="29FE586E">
            <w:pPr>
              <w:rPr>
                <w:rFonts w:ascii="Times New Roman" w:hAnsi="Times New Roman" w:eastAsia="华文楷体"/>
                <w:sz w:val="18"/>
                <w:szCs w:val="18"/>
              </w:rPr>
            </w:pPr>
          </w:p>
        </w:tc>
        <w:tc>
          <w:tcPr>
            <w:tcW w:w="1701" w:type="dxa"/>
            <w:tcBorders>
              <w:top w:val="nil"/>
              <w:left w:val="nil"/>
              <w:bottom w:val="single" w:color="auto" w:sz="4" w:space="0"/>
              <w:right w:val="nil"/>
            </w:tcBorders>
          </w:tcPr>
          <w:p w14:paraId="1D932FE8">
            <w:pPr>
              <w:rPr>
                <w:rFonts w:ascii="Times New Roman" w:hAnsi="Times New Roman" w:eastAsia="华文楷体"/>
                <w:sz w:val="18"/>
                <w:szCs w:val="18"/>
              </w:rPr>
            </w:pPr>
          </w:p>
        </w:tc>
        <w:tc>
          <w:tcPr>
            <w:tcW w:w="2127" w:type="dxa"/>
            <w:tcBorders>
              <w:top w:val="nil"/>
              <w:left w:val="nil"/>
              <w:bottom w:val="single" w:color="auto" w:sz="4" w:space="0"/>
            </w:tcBorders>
          </w:tcPr>
          <w:p w14:paraId="32A196BF">
            <w:pPr>
              <w:rPr>
                <w:rFonts w:ascii="Times New Roman" w:hAnsi="Times New Roman" w:eastAsia="华文楷体"/>
                <w:sz w:val="18"/>
                <w:szCs w:val="18"/>
              </w:rPr>
            </w:pPr>
          </w:p>
        </w:tc>
      </w:tr>
      <w:tr w14:paraId="7D659E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16DBE7B4">
            <w:pPr>
              <w:rPr>
                <w:rFonts w:ascii="Times New Roman" w:hAnsi="Times New Roman" w:eastAsia="华文楷体"/>
                <w:sz w:val="18"/>
              </w:rPr>
            </w:pPr>
          </w:p>
        </w:tc>
        <w:tc>
          <w:tcPr>
            <w:tcW w:w="1842" w:type="dxa"/>
            <w:tcBorders>
              <w:top w:val="single" w:color="auto" w:sz="4" w:space="0"/>
              <w:left w:val="single" w:color="auto" w:sz="4" w:space="0"/>
              <w:bottom w:val="single" w:color="auto" w:sz="4" w:space="0"/>
              <w:right w:val="single" w:color="auto" w:sz="4" w:space="0"/>
            </w:tcBorders>
          </w:tcPr>
          <w:p w14:paraId="0D54A1E9">
            <w:pPr>
              <w:jc w:val="center"/>
              <w:rPr>
                <w:rFonts w:ascii="Times New Roman" w:hAnsi="Times New Roman" w:eastAsia="华文楷体"/>
                <w:b/>
                <w:sz w:val="18"/>
                <w:szCs w:val="18"/>
              </w:rPr>
            </w:pPr>
            <w:r>
              <w:rPr>
                <w:rFonts w:ascii="Times New Roman" w:hAnsi="Times New Roman" w:eastAsia="华文楷体"/>
                <w:b/>
                <w:sz w:val="18"/>
                <w:szCs w:val="18"/>
              </w:rPr>
              <w:t>初始起算日</w:t>
            </w:r>
          </w:p>
        </w:tc>
        <w:tc>
          <w:tcPr>
            <w:tcW w:w="1701" w:type="dxa"/>
            <w:tcBorders>
              <w:top w:val="single" w:color="auto" w:sz="4" w:space="0"/>
              <w:left w:val="single" w:color="auto" w:sz="4" w:space="0"/>
              <w:bottom w:val="single" w:color="auto" w:sz="4" w:space="0"/>
              <w:right w:val="single" w:color="auto" w:sz="4" w:space="0"/>
            </w:tcBorders>
          </w:tcPr>
          <w:p w14:paraId="02D41FFF">
            <w:pPr>
              <w:rPr>
                <w:rFonts w:ascii="Times New Roman" w:hAnsi="Times New Roman" w:eastAsia="华文楷体"/>
                <w:b/>
                <w:sz w:val="18"/>
                <w:szCs w:val="18"/>
              </w:rPr>
            </w:pPr>
            <w:r>
              <w:rPr>
                <w:rFonts w:ascii="Times New Roman" w:hAnsi="Times New Roman" w:eastAsia="华文楷体"/>
                <w:b/>
                <w:sz w:val="18"/>
                <w:szCs w:val="18"/>
              </w:rPr>
              <w:t>本期期末</w:t>
            </w:r>
          </w:p>
        </w:tc>
        <w:tc>
          <w:tcPr>
            <w:tcW w:w="2127" w:type="dxa"/>
            <w:tcBorders>
              <w:top w:val="single" w:color="auto" w:sz="4" w:space="0"/>
              <w:left w:val="single" w:color="auto" w:sz="4" w:space="0"/>
              <w:bottom w:val="single" w:color="auto" w:sz="4" w:space="0"/>
            </w:tcBorders>
          </w:tcPr>
          <w:p w14:paraId="1EDC1D88">
            <w:pPr>
              <w:rPr>
                <w:rFonts w:ascii="Times New Roman" w:hAnsi="Times New Roman" w:eastAsia="华文楷体"/>
                <w:b/>
                <w:sz w:val="18"/>
                <w:szCs w:val="18"/>
              </w:rPr>
            </w:pPr>
            <w:r>
              <w:rPr>
                <w:rFonts w:ascii="Times New Roman" w:hAnsi="Times New Roman" w:eastAsia="华文楷体"/>
                <w:b/>
                <w:sz w:val="18"/>
                <w:szCs w:val="18"/>
              </w:rPr>
              <w:t>上一期期末</w:t>
            </w:r>
          </w:p>
        </w:tc>
      </w:tr>
      <w:tr w14:paraId="121226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3E6F6F64">
            <w:pPr>
              <w:rPr>
                <w:rFonts w:ascii="Times New Roman" w:hAnsi="Times New Roman" w:eastAsia="华文楷体"/>
                <w:sz w:val="18"/>
              </w:rPr>
            </w:pPr>
            <w:r>
              <w:rPr>
                <w:rFonts w:ascii="Times New Roman" w:hAnsi="Times New Roman" w:eastAsia="华文楷体"/>
                <w:sz w:val="18"/>
              </w:rPr>
              <w:t>加权平均贷款合同期限（月）</w:t>
            </w:r>
          </w:p>
        </w:tc>
        <w:tc>
          <w:tcPr>
            <w:tcW w:w="1842" w:type="dxa"/>
            <w:tcBorders>
              <w:top w:val="single" w:color="auto" w:sz="4" w:space="0"/>
              <w:left w:val="single" w:color="auto" w:sz="4" w:space="0"/>
              <w:bottom w:val="single" w:color="auto" w:sz="4" w:space="0"/>
              <w:right w:val="single" w:color="auto" w:sz="4" w:space="0"/>
            </w:tcBorders>
          </w:tcPr>
          <w:p w14:paraId="5411134A">
            <w:pPr>
              <w:rPr>
                <w:rFonts w:ascii="Times New Roman" w:hAnsi="Times New Roman" w:eastAsia="华文楷体"/>
                <w:sz w:val="18"/>
                <w:szCs w:val="18"/>
              </w:rPr>
            </w:pPr>
          </w:p>
        </w:tc>
        <w:tc>
          <w:tcPr>
            <w:tcW w:w="1701" w:type="dxa"/>
            <w:tcBorders>
              <w:top w:val="single" w:color="auto" w:sz="4" w:space="0"/>
              <w:left w:val="single" w:color="auto" w:sz="4" w:space="0"/>
              <w:bottom w:val="single" w:color="auto" w:sz="4" w:space="0"/>
              <w:right w:val="single" w:color="auto" w:sz="4" w:space="0"/>
            </w:tcBorders>
          </w:tcPr>
          <w:p w14:paraId="2E1DCE0F">
            <w:pPr>
              <w:rPr>
                <w:rFonts w:ascii="Times New Roman" w:hAnsi="Times New Roman" w:eastAsia="华文楷体"/>
                <w:sz w:val="18"/>
                <w:szCs w:val="18"/>
              </w:rPr>
            </w:pPr>
          </w:p>
        </w:tc>
        <w:tc>
          <w:tcPr>
            <w:tcW w:w="2127" w:type="dxa"/>
            <w:tcBorders>
              <w:top w:val="single" w:color="auto" w:sz="4" w:space="0"/>
              <w:left w:val="single" w:color="auto" w:sz="4" w:space="0"/>
              <w:bottom w:val="single" w:color="auto" w:sz="4" w:space="0"/>
            </w:tcBorders>
          </w:tcPr>
          <w:p w14:paraId="4876D690">
            <w:pPr>
              <w:rPr>
                <w:rFonts w:ascii="Times New Roman" w:hAnsi="Times New Roman" w:eastAsia="华文楷体"/>
                <w:sz w:val="18"/>
                <w:szCs w:val="18"/>
              </w:rPr>
            </w:pPr>
          </w:p>
        </w:tc>
      </w:tr>
      <w:tr w14:paraId="028ED3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5D51900E">
            <w:pPr>
              <w:rPr>
                <w:rFonts w:ascii="Times New Roman" w:hAnsi="Times New Roman" w:eastAsia="华文楷体"/>
                <w:sz w:val="18"/>
              </w:rPr>
            </w:pPr>
            <w:r>
              <w:rPr>
                <w:rFonts w:ascii="Times New Roman" w:hAnsi="Times New Roman" w:eastAsia="华文楷体"/>
                <w:sz w:val="18"/>
              </w:rPr>
              <w:t>加权平均剩余期限（月）</w:t>
            </w:r>
          </w:p>
        </w:tc>
        <w:tc>
          <w:tcPr>
            <w:tcW w:w="1842" w:type="dxa"/>
            <w:tcBorders>
              <w:top w:val="single" w:color="auto" w:sz="4" w:space="0"/>
              <w:left w:val="single" w:color="auto" w:sz="4" w:space="0"/>
              <w:bottom w:val="single" w:color="auto" w:sz="4" w:space="0"/>
              <w:right w:val="single" w:color="auto" w:sz="4" w:space="0"/>
            </w:tcBorders>
          </w:tcPr>
          <w:p w14:paraId="1D105523">
            <w:pPr>
              <w:rPr>
                <w:rFonts w:ascii="Times New Roman" w:hAnsi="Times New Roman" w:eastAsia="华文楷体"/>
                <w:sz w:val="18"/>
                <w:szCs w:val="18"/>
              </w:rPr>
            </w:pPr>
          </w:p>
        </w:tc>
        <w:tc>
          <w:tcPr>
            <w:tcW w:w="1701" w:type="dxa"/>
            <w:tcBorders>
              <w:top w:val="single" w:color="auto" w:sz="4" w:space="0"/>
              <w:left w:val="single" w:color="auto" w:sz="4" w:space="0"/>
              <w:bottom w:val="single" w:color="auto" w:sz="4" w:space="0"/>
              <w:right w:val="single" w:color="auto" w:sz="4" w:space="0"/>
            </w:tcBorders>
          </w:tcPr>
          <w:p w14:paraId="169ED059">
            <w:pPr>
              <w:rPr>
                <w:rFonts w:ascii="Times New Roman" w:hAnsi="Times New Roman" w:eastAsia="华文楷体"/>
                <w:sz w:val="18"/>
                <w:szCs w:val="18"/>
              </w:rPr>
            </w:pPr>
          </w:p>
        </w:tc>
        <w:tc>
          <w:tcPr>
            <w:tcW w:w="2127" w:type="dxa"/>
            <w:tcBorders>
              <w:top w:val="single" w:color="auto" w:sz="4" w:space="0"/>
              <w:left w:val="single" w:color="auto" w:sz="4" w:space="0"/>
              <w:bottom w:val="single" w:color="auto" w:sz="4" w:space="0"/>
            </w:tcBorders>
          </w:tcPr>
          <w:p w14:paraId="65AB9563">
            <w:pPr>
              <w:rPr>
                <w:rFonts w:ascii="Times New Roman" w:hAnsi="Times New Roman" w:eastAsia="华文楷体"/>
                <w:sz w:val="18"/>
                <w:szCs w:val="18"/>
              </w:rPr>
            </w:pPr>
          </w:p>
        </w:tc>
      </w:tr>
      <w:tr w14:paraId="43C0F0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3C54BBDA">
            <w:pPr>
              <w:rPr>
                <w:rFonts w:ascii="Times New Roman" w:hAnsi="Times New Roman" w:eastAsia="华文楷体"/>
                <w:sz w:val="18"/>
              </w:rPr>
            </w:pPr>
            <w:r>
              <w:rPr>
                <w:rFonts w:ascii="Times New Roman" w:hAnsi="Times New Roman" w:eastAsia="华文楷体"/>
                <w:sz w:val="18"/>
              </w:rPr>
              <w:t>加权平均账龄（月）</w:t>
            </w:r>
          </w:p>
        </w:tc>
        <w:tc>
          <w:tcPr>
            <w:tcW w:w="1842" w:type="dxa"/>
            <w:tcBorders>
              <w:top w:val="single" w:color="auto" w:sz="4" w:space="0"/>
              <w:left w:val="single" w:color="auto" w:sz="4" w:space="0"/>
              <w:bottom w:val="single" w:color="auto" w:sz="4" w:space="0"/>
              <w:right w:val="single" w:color="auto" w:sz="4" w:space="0"/>
            </w:tcBorders>
          </w:tcPr>
          <w:p w14:paraId="19B778AF">
            <w:pPr>
              <w:rPr>
                <w:rFonts w:ascii="Times New Roman" w:hAnsi="Times New Roman" w:eastAsia="华文楷体"/>
                <w:sz w:val="18"/>
                <w:szCs w:val="18"/>
              </w:rPr>
            </w:pPr>
          </w:p>
        </w:tc>
        <w:tc>
          <w:tcPr>
            <w:tcW w:w="1701" w:type="dxa"/>
            <w:tcBorders>
              <w:top w:val="single" w:color="auto" w:sz="4" w:space="0"/>
              <w:left w:val="single" w:color="auto" w:sz="4" w:space="0"/>
              <w:bottom w:val="single" w:color="auto" w:sz="4" w:space="0"/>
              <w:right w:val="single" w:color="auto" w:sz="4" w:space="0"/>
            </w:tcBorders>
          </w:tcPr>
          <w:p w14:paraId="2E9D9DED">
            <w:pPr>
              <w:rPr>
                <w:rFonts w:ascii="Times New Roman" w:hAnsi="Times New Roman" w:eastAsia="华文楷体"/>
                <w:sz w:val="18"/>
                <w:szCs w:val="18"/>
              </w:rPr>
            </w:pPr>
          </w:p>
        </w:tc>
        <w:tc>
          <w:tcPr>
            <w:tcW w:w="2127" w:type="dxa"/>
            <w:tcBorders>
              <w:top w:val="single" w:color="auto" w:sz="4" w:space="0"/>
              <w:left w:val="single" w:color="auto" w:sz="4" w:space="0"/>
              <w:bottom w:val="single" w:color="auto" w:sz="4" w:space="0"/>
            </w:tcBorders>
          </w:tcPr>
          <w:p w14:paraId="6FC06A75">
            <w:pPr>
              <w:rPr>
                <w:rFonts w:ascii="Times New Roman" w:hAnsi="Times New Roman" w:eastAsia="华文楷体"/>
                <w:sz w:val="18"/>
                <w:szCs w:val="18"/>
              </w:rPr>
            </w:pPr>
          </w:p>
        </w:tc>
      </w:tr>
      <w:tr w14:paraId="436034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5BE2003F">
            <w:pPr>
              <w:rPr>
                <w:rFonts w:ascii="Times New Roman" w:hAnsi="Times New Roman" w:eastAsia="华文楷体"/>
                <w:sz w:val="18"/>
              </w:rPr>
            </w:pPr>
            <w:r>
              <w:rPr>
                <w:rFonts w:ascii="Times New Roman" w:hAnsi="Times New Roman" w:eastAsia="华文楷体"/>
                <w:sz w:val="18"/>
              </w:rPr>
              <w:t>单笔贷款最长到期期限（月）</w:t>
            </w:r>
          </w:p>
        </w:tc>
        <w:tc>
          <w:tcPr>
            <w:tcW w:w="1842" w:type="dxa"/>
            <w:tcBorders>
              <w:top w:val="single" w:color="auto" w:sz="4" w:space="0"/>
              <w:left w:val="single" w:color="auto" w:sz="4" w:space="0"/>
              <w:bottom w:val="single" w:color="auto" w:sz="4" w:space="0"/>
              <w:right w:val="single" w:color="auto" w:sz="4" w:space="0"/>
            </w:tcBorders>
          </w:tcPr>
          <w:p w14:paraId="083057B1">
            <w:pPr>
              <w:rPr>
                <w:rFonts w:ascii="Times New Roman" w:hAnsi="Times New Roman" w:eastAsia="华文楷体"/>
                <w:sz w:val="18"/>
                <w:szCs w:val="18"/>
              </w:rPr>
            </w:pPr>
          </w:p>
        </w:tc>
        <w:tc>
          <w:tcPr>
            <w:tcW w:w="1701" w:type="dxa"/>
            <w:tcBorders>
              <w:top w:val="single" w:color="auto" w:sz="4" w:space="0"/>
              <w:left w:val="single" w:color="auto" w:sz="4" w:space="0"/>
              <w:bottom w:val="single" w:color="auto" w:sz="4" w:space="0"/>
              <w:right w:val="single" w:color="auto" w:sz="4" w:space="0"/>
            </w:tcBorders>
          </w:tcPr>
          <w:p w14:paraId="41A0DCDE">
            <w:pPr>
              <w:rPr>
                <w:rFonts w:ascii="Times New Roman" w:hAnsi="Times New Roman" w:eastAsia="华文楷体"/>
                <w:sz w:val="18"/>
                <w:szCs w:val="18"/>
              </w:rPr>
            </w:pPr>
          </w:p>
        </w:tc>
        <w:tc>
          <w:tcPr>
            <w:tcW w:w="2127" w:type="dxa"/>
            <w:tcBorders>
              <w:top w:val="single" w:color="auto" w:sz="4" w:space="0"/>
              <w:left w:val="single" w:color="auto" w:sz="4" w:space="0"/>
              <w:bottom w:val="single" w:color="auto" w:sz="4" w:space="0"/>
            </w:tcBorders>
          </w:tcPr>
          <w:p w14:paraId="534619FF">
            <w:pPr>
              <w:rPr>
                <w:rFonts w:ascii="Times New Roman" w:hAnsi="Times New Roman" w:eastAsia="华文楷体"/>
                <w:sz w:val="18"/>
                <w:szCs w:val="18"/>
              </w:rPr>
            </w:pPr>
          </w:p>
        </w:tc>
      </w:tr>
      <w:tr w14:paraId="4AE7FE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5CC3B162">
            <w:pPr>
              <w:rPr>
                <w:rFonts w:ascii="Times New Roman" w:hAnsi="Times New Roman" w:eastAsia="华文楷体"/>
                <w:sz w:val="18"/>
              </w:rPr>
            </w:pPr>
            <w:r>
              <w:rPr>
                <w:rFonts w:ascii="Times New Roman" w:hAnsi="Times New Roman" w:eastAsia="华文楷体"/>
                <w:sz w:val="18"/>
              </w:rPr>
              <w:t>单笔贷款最短到期期限（月）</w:t>
            </w:r>
          </w:p>
        </w:tc>
        <w:tc>
          <w:tcPr>
            <w:tcW w:w="1842" w:type="dxa"/>
            <w:tcBorders>
              <w:top w:val="single" w:color="auto" w:sz="4" w:space="0"/>
              <w:left w:val="single" w:color="auto" w:sz="4" w:space="0"/>
              <w:bottom w:val="single" w:color="auto" w:sz="4" w:space="0"/>
              <w:right w:val="single" w:color="auto" w:sz="4" w:space="0"/>
            </w:tcBorders>
          </w:tcPr>
          <w:p w14:paraId="5A78F203">
            <w:pPr>
              <w:rPr>
                <w:rFonts w:ascii="Times New Roman" w:hAnsi="Times New Roman" w:eastAsia="华文楷体"/>
                <w:sz w:val="18"/>
                <w:szCs w:val="18"/>
              </w:rPr>
            </w:pPr>
          </w:p>
        </w:tc>
        <w:tc>
          <w:tcPr>
            <w:tcW w:w="1701" w:type="dxa"/>
            <w:tcBorders>
              <w:top w:val="single" w:color="auto" w:sz="4" w:space="0"/>
              <w:left w:val="single" w:color="auto" w:sz="4" w:space="0"/>
              <w:bottom w:val="single" w:color="auto" w:sz="4" w:space="0"/>
              <w:right w:val="single" w:color="auto" w:sz="4" w:space="0"/>
            </w:tcBorders>
          </w:tcPr>
          <w:p w14:paraId="6CE94F21">
            <w:pPr>
              <w:rPr>
                <w:rFonts w:ascii="Times New Roman" w:hAnsi="Times New Roman" w:eastAsia="华文楷体"/>
                <w:sz w:val="18"/>
                <w:szCs w:val="18"/>
              </w:rPr>
            </w:pPr>
          </w:p>
        </w:tc>
        <w:tc>
          <w:tcPr>
            <w:tcW w:w="2127" w:type="dxa"/>
            <w:tcBorders>
              <w:top w:val="single" w:color="auto" w:sz="4" w:space="0"/>
              <w:left w:val="single" w:color="auto" w:sz="4" w:space="0"/>
              <w:bottom w:val="single" w:color="auto" w:sz="4" w:space="0"/>
            </w:tcBorders>
          </w:tcPr>
          <w:p w14:paraId="4D8D905C">
            <w:pPr>
              <w:rPr>
                <w:rFonts w:ascii="Times New Roman" w:hAnsi="Times New Roman" w:eastAsia="华文楷体"/>
                <w:sz w:val="18"/>
                <w:szCs w:val="18"/>
              </w:rPr>
            </w:pPr>
          </w:p>
        </w:tc>
      </w:tr>
      <w:tr w14:paraId="15B152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4"/>
            <w:tcBorders>
              <w:top w:val="single" w:color="auto" w:sz="4" w:space="0"/>
              <w:bottom w:val="single" w:color="auto" w:sz="4" w:space="0"/>
            </w:tcBorders>
          </w:tcPr>
          <w:p w14:paraId="411B4F9D">
            <w:pPr>
              <w:rPr>
                <w:rFonts w:ascii="Times New Roman" w:hAnsi="Times New Roman" w:eastAsia="华文楷体"/>
                <w:sz w:val="18"/>
                <w:szCs w:val="18"/>
              </w:rPr>
            </w:pPr>
          </w:p>
          <w:p w14:paraId="4FCA0F14">
            <w:pPr>
              <w:rPr>
                <w:rFonts w:ascii="Times New Roman" w:hAnsi="Times New Roman" w:eastAsia="华文楷体"/>
                <w:sz w:val="18"/>
                <w:szCs w:val="18"/>
              </w:rPr>
            </w:pPr>
            <w:r>
              <w:rPr>
                <w:rFonts w:ascii="Times New Roman" w:hAnsi="Times New Roman" w:eastAsia="华文楷体"/>
                <w:b/>
                <w:sz w:val="18"/>
                <w:szCs w:val="18"/>
              </w:rPr>
              <w:t>（三）入池资产利率特征</w:t>
            </w:r>
          </w:p>
        </w:tc>
      </w:tr>
      <w:tr w14:paraId="34E4EF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4EB00EBF">
            <w:pPr>
              <w:rPr>
                <w:rFonts w:ascii="Times New Roman" w:hAnsi="Times New Roman" w:eastAsia="华文楷体"/>
              </w:rPr>
            </w:pPr>
          </w:p>
        </w:tc>
        <w:tc>
          <w:tcPr>
            <w:tcW w:w="1842" w:type="dxa"/>
            <w:tcBorders>
              <w:top w:val="single" w:color="auto" w:sz="4" w:space="0"/>
              <w:left w:val="single" w:color="auto" w:sz="4" w:space="0"/>
              <w:bottom w:val="single" w:color="auto" w:sz="4" w:space="0"/>
              <w:right w:val="single" w:color="auto" w:sz="4" w:space="0"/>
            </w:tcBorders>
          </w:tcPr>
          <w:p w14:paraId="533291FF">
            <w:pPr>
              <w:jc w:val="center"/>
              <w:rPr>
                <w:rFonts w:ascii="Times New Roman" w:hAnsi="Times New Roman" w:eastAsia="华文楷体"/>
                <w:b/>
                <w:sz w:val="18"/>
                <w:szCs w:val="18"/>
              </w:rPr>
            </w:pPr>
            <w:r>
              <w:rPr>
                <w:rFonts w:ascii="Times New Roman" w:hAnsi="Times New Roman" w:eastAsia="华文楷体"/>
                <w:b/>
                <w:sz w:val="18"/>
                <w:szCs w:val="18"/>
              </w:rPr>
              <w:t>初始起算日</w:t>
            </w:r>
          </w:p>
        </w:tc>
        <w:tc>
          <w:tcPr>
            <w:tcW w:w="1701" w:type="dxa"/>
            <w:tcBorders>
              <w:top w:val="single" w:color="auto" w:sz="4" w:space="0"/>
              <w:left w:val="single" w:color="auto" w:sz="4" w:space="0"/>
              <w:bottom w:val="single" w:color="auto" w:sz="4" w:space="0"/>
              <w:right w:val="single" w:color="auto" w:sz="4" w:space="0"/>
            </w:tcBorders>
          </w:tcPr>
          <w:p w14:paraId="5617D0F5">
            <w:pPr>
              <w:rPr>
                <w:rFonts w:ascii="Times New Roman" w:hAnsi="Times New Roman" w:eastAsia="华文楷体"/>
                <w:b/>
                <w:sz w:val="18"/>
                <w:szCs w:val="18"/>
              </w:rPr>
            </w:pPr>
            <w:r>
              <w:rPr>
                <w:rFonts w:ascii="Times New Roman" w:hAnsi="Times New Roman" w:eastAsia="华文楷体"/>
                <w:b/>
                <w:sz w:val="18"/>
                <w:szCs w:val="18"/>
              </w:rPr>
              <w:t>本期期末</w:t>
            </w:r>
          </w:p>
        </w:tc>
        <w:tc>
          <w:tcPr>
            <w:tcW w:w="2127" w:type="dxa"/>
            <w:tcBorders>
              <w:top w:val="single" w:color="auto" w:sz="4" w:space="0"/>
              <w:left w:val="single" w:color="auto" w:sz="4" w:space="0"/>
              <w:bottom w:val="single" w:color="auto" w:sz="4" w:space="0"/>
            </w:tcBorders>
          </w:tcPr>
          <w:p w14:paraId="6AB8215D">
            <w:pPr>
              <w:rPr>
                <w:rFonts w:ascii="Times New Roman" w:hAnsi="Times New Roman" w:eastAsia="华文楷体"/>
                <w:b/>
                <w:sz w:val="18"/>
                <w:szCs w:val="18"/>
              </w:rPr>
            </w:pPr>
            <w:r>
              <w:rPr>
                <w:rFonts w:ascii="Times New Roman" w:hAnsi="Times New Roman" w:eastAsia="华文楷体"/>
                <w:b/>
                <w:sz w:val="18"/>
                <w:szCs w:val="18"/>
              </w:rPr>
              <w:t>上一期期末</w:t>
            </w:r>
          </w:p>
        </w:tc>
      </w:tr>
      <w:tr w14:paraId="4046FE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4DBAB3B4">
            <w:pPr>
              <w:rPr>
                <w:rFonts w:ascii="Times New Roman" w:hAnsi="Times New Roman" w:eastAsia="华文楷体"/>
                <w:sz w:val="18"/>
              </w:rPr>
            </w:pPr>
            <w:r>
              <w:rPr>
                <w:rFonts w:ascii="Times New Roman" w:hAnsi="Times New Roman" w:eastAsia="华文楷体"/>
                <w:sz w:val="18"/>
              </w:rPr>
              <w:t>加权平均手续费率（%）</w:t>
            </w:r>
          </w:p>
        </w:tc>
        <w:tc>
          <w:tcPr>
            <w:tcW w:w="1842" w:type="dxa"/>
            <w:tcBorders>
              <w:top w:val="single" w:color="auto" w:sz="4" w:space="0"/>
              <w:left w:val="single" w:color="auto" w:sz="4" w:space="0"/>
              <w:bottom w:val="single" w:color="auto" w:sz="4" w:space="0"/>
              <w:right w:val="single" w:color="auto" w:sz="4" w:space="0"/>
            </w:tcBorders>
          </w:tcPr>
          <w:p w14:paraId="0E8CD13E">
            <w:pPr>
              <w:rPr>
                <w:rFonts w:ascii="Times New Roman" w:hAnsi="Times New Roman" w:eastAsia="华文楷体"/>
                <w:sz w:val="18"/>
                <w:szCs w:val="18"/>
              </w:rPr>
            </w:pPr>
          </w:p>
        </w:tc>
        <w:tc>
          <w:tcPr>
            <w:tcW w:w="1701" w:type="dxa"/>
            <w:tcBorders>
              <w:top w:val="single" w:color="auto" w:sz="4" w:space="0"/>
              <w:left w:val="single" w:color="auto" w:sz="4" w:space="0"/>
              <w:bottom w:val="single" w:color="auto" w:sz="4" w:space="0"/>
              <w:right w:val="single" w:color="auto" w:sz="4" w:space="0"/>
            </w:tcBorders>
          </w:tcPr>
          <w:p w14:paraId="4B43EAA0">
            <w:pPr>
              <w:rPr>
                <w:rFonts w:ascii="Times New Roman" w:hAnsi="Times New Roman" w:eastAsia="华文楷体"/>
                <w:sz w:val="18"/>
                <w:szCs w:val="18"/>
              </w:rPr>
            </w:pPr>
          </w:p>
        </w:tc>
        <w:tc>
          <w:tcPr>
            <w:tcW w:w="2127" w:type="dxa"/>
            <w:tcBorders>
              <w:top w:val="single" w:color="auto" w:sz="4" w:space="0"/>
              <w:left w:val="single" w:color="auto" w:sz="4" w:space="0"/>
              <w:bottom w:val="single" w:color="auto" w:sz="4" w:space="0"/>
            </w:tcBorders>
          </w:tcPr>
          <w:p w14:paraId="078CD152">
            <w:pPr>
              <w:rPr>
                <w:rFonts w:ascii="Times New Roman" w:hAnsi="Times New Roman" w:eastAsia="华文楷体"/>
                <w:sz w:val="18"/>
                <w:szCs w:val="18"/>
              </w:rPr>
            </w:pPr>
          </w:p>
        </w:tc>
      </w:tr>
      <w:tr w14:paraId="6145E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7E9B4195">
            <w:pPr>
              <w:rPr>
                <w:rFonts w:ascii="Times New Roman" w:hAnsi="Times New Roman" w:eastAsia="华文楷体"/>
                <w:sz w:val="18"/>
              </w:rPr>
            </w:pPr>
            <w:r>
              <w:rPr>
                <w:rFonts w:ascii="Times New Roman" w:hAnsi="Times New Roman" w:eastAsia="华文楷体"/>
                <w:sz w:val="18"/>
              </w:rPr>
              <w:t>最高手续费率（%）</w:t>
            </w:r>
          </w:p>
        </w:tc>
        <w:tc>
          <w:tcPr>
            <w:tcW w:w="1842" w:type="dxa"/>
            <w:tcBorders>
              <w:top w:val="single" w:color="auto" w:sz="4" w:space="0"/>
              <w:left w:val="single" w:color="auto" w:sz="4" w:space="0"/>
              <w:bottom w:val="single" w:color="auto" w:sz="4" w:space="0"/>
              <w:right w:val="single" w:color="auto" w:sz="4" w:space="0"/>
            </w:tcBorders>
          </w:tcPr>
          <w:p w14:paraId="252FF4DB">
            <w:pPr>
              <w:rPr>
                <w:rFonts w:ascii="Times New Roman" w:hAnsi="Times New Roman" w:eastAsia="华文楷体"/>
                <w:sz w:val="18"/>
                <w:szCs w:val="18"/>
              </w:rPr>
            </w:pPr>
          </w:p>
        </w:tc>
        <w:tc>
          <w:tcPr>
            <w:tcW w:w="1701" w:type="dxa"/>
            <w:tcBorders>
              <w:top w:val="single" w:color="auto" w:sz="4" w:space="0"/>
              <w:left w:val="single" w:color="auto" w:sz="4" w:space="0"/>
              <w:bottom w:val="single" w:color="auto" w:sz="4" w:space="0"/>
              <w:right w:val="single" w:color="auto" w:sz="4" w:space="0"/>
            </w:tcBorders>
          </w:tcPr>
          <w:p w14:paraId="3BD1359F">
            <w:pPr>
              <w:rPr>
                <w:rFonts w:ascii="Times New Roman" w:hAnsi="Times New Roman" w:eastAsia="华文楷体"/>
                <w:sz w:val="18"/>
                <w:szCs w:val="18"/>
              </w:rPr>
            </w:pPr>
          </w:p>
        </w:tc>
        <w:tc>
          <w:tcPr>
            <w:tcW w:w="2127" w:type="dxa"/>
            <w:tcBorders>
              <w:top w:val="single" w:color="auto" w:sz="4" w:space="0"/>
              <w:left w:val="single" w:color="auto" w:sz="4" w:space="0"/>
              <w:bottom w:val="single" w:color="auto" w:sz="4" w:space="0"/>
            </w:tcBorders>
          </w:tcPr>
          <w:p w14:paraId="6402FA36">
            <w:pPr>
              <w:rPr>
                <w:rFonts w:ascii="Times New Roman" w:hAnsi="Times New Roman" w:eastAsia="华文楷体"/>
                <w:sz w:val="18"/>
                <w:szCs w:val="18"/>
              </w:rPr>
            </w:pPr>
          </w:p>
        </w:tc>
      </w:tr>
      <w:tr w14:paraId="05918C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51D1B2D7">
            <w:pPr>
              <w:rPr>
                <w:rFonts w:ascii="Times New Roman" w:hAnsi="Times New Roman" w:eastAsia="华文楷体"/>
                <w:sz w:val="18"/>
              </w:rPr>
            </w:pPr>
            <w:r>
              <w:rPr>
                <w:rFonts w:ascii="Times New Roman" w:hAnsi="Times New Roman" w:eastAsia="华文楷体"/>
                <w:sz w:val="18"/>
              </w:rPr>
              <w:t>最低手续费率（%）</w:t>
            </w:r>
          </w:p>
        </w:tc>
        <w:tc>
          <w:tcPr>
            <w:tcW w:w="1842" w:type="dxa"/>
            <w:tcBorders>
              <w:top w:val="single" w:color="auto" w:sz="4" w:space="0"/>
              <w:left w:val="single" w:color="auto" w:sz="4" w:space="0"/>
              <w:bottom w:val="single" w:color="auto" w:sz="4" w:space="0"/>
              <w:right w:val="single" w:color="auto" w:sz="4" w:space="0"/>
            </w:tcBorders>
          </w:tcPr>
          <w:p w14:paraId="74C6C409">
            <w:pPr>
              <w:rPr>
                <w:rFonts w:ascii="Times New Roman" w:hAnsi="Times New Roman" w:eastAsia="华文楷体"/>
                <w:sz w:val="18"/>
                <w:szCs w:val="18"/>
              </w:rPr>
            </w:pPr>
          </w:p>
        </w:tc>
        <w:tc>
          <w:tcPr>
            <w:tcW w:w="1701" w:type="dxa"/>
            <w:tcBorders>
              <w:top w:val="single" w:color="auto" w:sz="4" w:space="0"/>
              <w:left w:val="single" w:color="auto" w:sz="4" w:space="0"/>
              <w:bottom w:val="single" w:color="auto" w:sz="4" w:space="0"/>
              <w:right w:val="single" w:color="auto" w:sz="4" w:space="0"/>
            </w:tcBorders>
          </w:tcPr>
          <w:p w14:paraId="085B769F">
            <w:pPr>
              <w:rPr>
                <w:rFonts w:ascii="Times New Roman" w:hAnsi="Times New Roman" w:eastAsia="华文楷体"/>
                <w:sz w:val="18"/>
                <w:szCs w:val="18"/>
              </w:rPr>
            </w:pPr>
          </w:p>
        </w:tc>
        <w:tc>
          <w:tcPr>
            <w:tcW w:w="2127" w:type="dxa"/>
            <w:tcBorders>
              <w:top w:val="single" w:color="auto" w:sz="4" w:space="0"/>
              <w:left w:val="single" w:color="auto" w:sz="4" w:space="0"/>
              <w:bottom w:val="single" w:color="auto" w:sz="4" w:space="0"/>
            </w:tcBorders>
          </w:tcPr>
          <w:p w14:paraId="37E27439">
            <w:pPr>
              <w:rPr>
                <w:rFonts w:ascii="Times New Roman" w:hAnsi="Times New Roman" w:eastAsia="华文楷体"/>
                <w:sz w:val="18"/>
                <w:szCs w:val="18"/>
              </w:rPr>
            </w:pPr>
          </w:p>
        </w:tc>
      </w:tr>
    </w:tbl>
    <w:p w14:paraId="3BD9CCE7">
      <w:pPr>
        <w:rPr>
          <w:rFonts w:ascii="Times New Roman" w:hAnsi="Times New Roman" w:eastAsia="华文楷体"/>
        </w:rPr>
      </w:pPr>
    </w:p>
    <w:p w14:paraId="2D968659">
      <w:pPr>
        <w:rPr>
          <w:rFonts w:ascii="Times New Roman" w:hAnsi="Times New Roman" w:eastAsia="华文楷体"/>
        </w:rPr>
      </w:pPr>
      <w:r>
        <w:rPr>
          <w:rFonts w:ascii="Times New Roman" w:hAnsi="Times New Roman" w:eastAsia="华文楷体"/>
        </w:rPr>
        <w:br w:type="page"/>
      </w:r>
    </w:p>
    <w:tbl>
      <w:tblPr>
        <w:tblStyle w:val="30"/>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13"/>
        <w:gridCol w:w="1101"/>
        <w:gridCol w:w="1102"/>
        <w:gridCol w:w="315"/>
        <w:gridCol w:w="580"/>
        <w:gridCol w:w="210"/>
        <w:gridCol w:w="1101"/>
        <w:gridCol w:w="957"/>
        <w:gridCol w:w="143"/>
        <w:gridCol w:w="2125"/>
      </w:tblGrid>
      <w:tr w14:paraId="70179A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7" w:type="dxa"/>
            <w:gridSpan w:val="10"/>
            <w:tcBorders>
              <w:bottom w:val="single" w:color="auto" w:sz="4" w:space="0"/>
            </w:tcBorders>
          </w:tcPr>
          <w:p w14:paraId="02ACC24D">
            <w:pPr>
              <w:jc w:val="center"/>
              <w:rPr>
                <w:rFonts w:ascii="Times New Roman" w:hAnsi="Times New Roman" w:eastAsia="华文楷体"/>
                <w:b/>
                <w:sz w:val="28"/>
              </w:rPr>
            </w:pPr>
            <w:r>
              <w:rPr>
                <w:rFonts w:ascii="Times New Roman" w:hAnsi="Times New Roman" w:eastAsia="华文楷体"/>
                <w:b/>
                <w:sz w:val="28"/>
              </w:rPr>
              <w:t>【信托名称】</w:t>
            </w:r>
          </w:p>
          <w:p w14:paraId="38A6BFC4">
            <w:pPr>
              <w:spacing w:line="360" w:lineRule="auto"/>
              <w:jc w:val="center"/>
              <w:rPr>
                <w:rFonts w:ascii="Times New Roman" w:hAnsi="Times New Roman" w:eastAsia="楷体_GB2312"/>
                <w:b/>
              </w:rPr>
            </w:pPr>
            <w:r>
              <w:rPr>
                <w:rFonts w:ascii="Times New Roman" w:hAnsi="Times New Roman" w:eastAsia="楷体_GB2312"/>
                <w:b/>
                <w:sz w:val="28"/>
              </w:rPr>
              <w:t>受托机构月度/年度报告</w:t>
            </w:r>
          </w:p>
        </w:tc>
      </w:tr>
      <w:tr w14:paraId="025096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7" w:type="dxa"/>
            <w:gridSpan w:val="10"/>
            <w:tcBorders>
              <w:top w:val="single" w:color="auto" w:sz="4" w:space="0"/>
              <w:bottom w:val="single" w:color="auto" w:sz="4" w:space="0"/>
            </w:tcBorders>
          </w:tcPr>
          <w:p w14:paraId="547F7E08">
            <w:pPr>
              <w:spacing w:line="360" w:lineRule="auto"/>
              <w:rPr>
                <w:rFonts w:ascii="Times New Roman" w:hAnsi="Times New Roman" w:eastAsia="楷体_GB2312"/>
                <w:b/>
              </w:rPr>
            </w:pPr>
            <w:r>
              <w:rPr>
                <w:rFonts w:ascii="Times New Roman" w:hAnsi="Times New Roman" w:eastAsia="楷体_GB2312"/>
                <w:b/>
              </w:rPr>
              <w:t>五、</w:t>
            </w:r>
            <w:r>
              <w:rPr>
                <w:rFonts w:ascii="Times New Roman" w:hAnsi="Times New Roman" w:eastAsia="楷体_GB2312"/>
                <w:b/>
                <w:szCs w:val="21"/>
              </w:rPr>
              <w:t>存续期基础资产持续购买</w:t>
            </w:r>
            <w:r>
              <w:rPr>
                <w:rFonts w:ascii="Times New Roman" w:hAnsi="Times New Roman" w:eastAsia="楷体_GB2312"/>
                <w:b/>
              </w:rPr>
              <w:t>总体信息</w:t>
            </w:r>
          </w:p>
          <w:p w14:paraId="3A12E7BA">
            <w:pPr>
              <w:spacing w:line="360" w:lineRule="auto"/>
              <w:rPr>
                <w:rFonts w:ascii="Times New Roman" w:hAnsi="Times New Roman" w:eastAsia="楷体_GB2312"/>
                <w:b/>
              </w:rPr>
            </w:pPr>
            <w:r>
              <w:rPr>
                <w:rFonts w:ascii="Times New Roman" w:hAnsi="Times New Roman" w:eastAsia="楷体_GB2312"/>
                <w:b/>
              </w:rPr>
              <w:t>（一）</w:t>
            </w:r>
            <w:r>
              <w:rPr>
                <w:rFonts w:ascii="Times New Roman" w:hAnsi="Times New Roman" w:eastAsia="楷体"/>
                <w:b/>
                <w:color w:val="000000"/>
              </w:rPr>
              <w:t>资产池持续运营情况</w:t>
            </w:r>
          </w:p>
        </w:tc>
      </w:tr>
      <w:tr w14:paraId="63AAFA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tcPr>
          <w:p w14:paraId="68B7D939">
            <w:pPr>
              <w:spacing w:line="360" w:lineRule="auto"/>
              <w:jc w:val="center"/>
              <w:rPr>
                <w:rFonts w:ascii="Times New Roman" w:hAnsi="Times New Roman" w:eastAsia="楷体_GB2312"/>
                <w:b/>
                <w:sz w:val="18"/>
                <w:szCs w:val="18"/>
              </w:rPr>
            </w:pP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tcPr>
          <w:p w14:paraId="70154A1B">
            <w:pPr>
              <w:spacing w:line="360" w:lineRule="auto"/>
              <w:rPr>
                <w:rFonts w:ascii="Times New Roman" w:hAnsi="Times New Roman" w:eastAsia="楷体_GB2312"/>
                <w:b/>
                <w:sz w:val="18"/>
                <w:szCs w:val="18"/>
              </w:rPr>
            </w:pPr>
            <w:r>
              <w:rPr>
                <w:rFonts w:ascii="Times New Roman" w:hAnsi="Times New Roman" w:eastAsia="楷体_GB2312"/>
                <w:b/>
                <w:sz w:val="18"/>
                <w:szCs w:val="18"/>
              </w:rPr>
              <w:t>上一期期末</w:t>
            </w:r>
          </w:p>
        </w:tc>
        <w:tc>
          <w:tcPr>
            <w:tcW w:w="2268" w:type="dxa"/>
            <w:gridSpan w:val="2"/>
            <w:tcBorders>
              <w:top w:val="single" w:color="auto" w:sz="4" w:space="0"/>
              <w:left w:val="single" w:color="auto" w:sz="4" w:space="0"/>
              <w:bottom w:val="single" w:color="auto" w:sz="4" w:space="0"/>
            </w:tcBorders>
            <w:shd w:val="clear" w:color="auto" w:fill="auto"/>
          </w:tcPr>
          <w:p w14:paraId="7BC8DBF3">
            <w:pPr>
              <w:spacing w:line="360" w:lineRule="auto"/>
              <w:rPr>
                <w:rFonts w:ascii="Times New Roman" w:hAnsi="Times New Roman" w:eastAsia="楷体_GB2312"/>
                <w:b/>
                <w:sz w:val="18"/>
                <w:szCs w:val="18"/>
              </w:rPr>
            </w:pPr>
            <w:r>
              <w:rPr>
                <w:rFonts w:ascii="Times New Roman" w:hAnsi="Times New Roman" w:eastAsia="楷体_GB2312"/>
                <w:b/>
                <w:sz w:val="18"/>
                <w:szCs w:val="18"/>
              </w:rPr>
              <w:t>本期期末</w:t>
            </w:r>
          </w:p>
        </w:tc>
      </w:tr>
      <w:tr w14:paraId="767D84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tcPr>
          <w:p w14:paraId="3148B466">
            <w:pPr>
              <w:spacing w:line="360" w:lineRule="auto"/>
              <w:rPr>
                <w:rFonts w:ascii="Times New Roman" w:hAnsi="Times New Roman" w:eastAsia="楷体_GB2312"/>
                <w:sz w:val="18"/>
                <w:szCs w:val="18"/>
              </w:rPr>
            </w:pPr>
            <w:r>
              <w:rPr>
                <w:rFonts w:ascii="Times New Roman" w:hAnsi="Times New Roman" w:eastAsia="楷体_GB2312"/>
                <w:sz w:val="18"/>
              </w:rPr>
              <w:t>持续购买</w:t>
            </w:r>
            <w:r>
              <w:rPr>
                <w:rFonts w:ascii="Times New Roman" w:hAnsi="Times New Roman" w:eastAsia="楷体_GB2312"/>
                <w:color w:val="000000"/>
                <w:sz w:val="18"/>
                <w:szCs w:val="18"/>
              </w:rPr>
              <w:t>总笔数</w:t>
            </w:r>
          </w:p>
        </w:tc>
        <w:tc>
          <w:tcPr>
            <w:tcW w:w="2268" w:type="dxa"/>
            <w:gridSpan w:val="3"/>
            <w:tcBorders>
              <w:top w:val="single" w:color="auto" w:sz="4" w:space="0"/>
              <w:left w:val="single" w:color="auto" w:sz="4" w:space="0"/>
              <w:bottom w:val="single" w:color="auto" w:sz="4" w:space="0"/>
              <w:right w:val="single" w:color="auto" w:sz="4" w:space="0"/>
            </w:tcBorders>
          </w:tcPr>
          <w:p w14:paraId="4D3D6C72">
            <w:pPr>
              <w:spacing w:line="360" w:lineRule="auto"/>
              <w:rPr>
                <w:rFonts w:ascii="Times New Roman" w:hAnsi="Times New Roman" w:eastAsia="楷体_GB2312"/>
                <w:sz w:val="18"/>
                <w:szCs w:val="18"/>
              </w:rPr>
            </w:pPr>
          </w:p>
        </w:tc>
        <w:tc>
          <w:tcPr>
            <w:tcW w:w="2268" w:type="dxa"/>
            <w:gridSpan w:val="2"/>
            <w:tcBorders>
              <w:top w:val="single" w:color="auto" w:sz="4" w:space="0"/>
              <w:left w:val="single" w:color="auto" w:sz="4" w:space="0"/>
              <w:bottom w:val="single" w:color="auto" w:sz="4" w:space="0"/>
            </w:tcBorders>
          </w:tcPr>
          <w:p w14:paraId="48761E84">
            <w:pPr>
              <w:spacing w:line="360" w:lineRule="auto"/>
              <w:rPr>
                <w:rFonts w:ascii="Times New Roman" w:hAnsi="Times New Roman" w:eastAsia="楷体_GB2312"/>
                <w:sz w:val="18"/>
                <w:szCs w:val="18"/>
              </w:rPr>
            </w:pPr>
          </w:p>
        </w:tc>
      </w:tr>
      <w:tr w14:paraId="7C11B7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tcPr>
          <w:p w14:paraId="48482E7F">
            <w:pPr>
              <w:spacing w:line="360" w:lineRule="auto"/>
              <w:rPr>
                <w:rFonts w:ascii="Times New Roman" w:hAnsi="Times New Roman" w:eastAsia="楷体_GB2312"/>
                <w:sz w:val="18"/>
                <w:szCs w:val="18"/>
              </w:rPr>
            </w:pPr>
            <w:r>
              <w:rPr>
                <w:rFonts w:ascii="Times New Roman" w:hAnsi="Times New Roman" w:eastAsia="楷体_GB2312"/>
                <w:color w:val="000000"/>
                <w:sz w:val="18"/>
                <w:szCs w:val="18"/>
              </w:rPr>
              <w:t>购买次数</w:t>
            </w:r>
          </w:p>
        </w:tc>
        <w:tc>
          <w:tcPr>
            <w:tcW w:w="2268" w:type="dxa"/>
            <w:gridSpan w:val="3"/>
            <w:tcBorders>
              <w:top w:val="single" w:color="auto" w:sz="4" w:space="0"/>
              <w:left w:val="single" w:color="auto" w:sz="4" w:space="0"/>
              <w:bottom w:val="single" w:color="auto" w:sz="4" w:space="0"/>
              <w:right w:val="single" w:color="auto" w:sz="4" w:space="0"/>
            </w:tcBorders>
          </w:tcPr>
          <w:p w14:paraId="142C997A">
            <w:pPr>
              <w:spacing w:line="360" w:lineRule="auto"/>
              <w:rPr>
                <w:rFonts w:ascii="Times New Roman" w:hAnsi="Times New Roman" w:eastAsia="楷体_GB2312"/>
                <w:sz w:val="18"/>
                <w:szCs w:val="18"/>
              </w:rPr>
            </w:pPr>
          </w:p>
        </w:tc>
        <w:tc>
          <w:tcPr>
            <w:tcW w:w="2268" w:type="dxa"/>
            <w:gridSpan w:val="2"/>
            <w:tcBorders>
              <w:top w:val="single" w:color="auto" w:sz="4" w:space="0"/>
              <w:left w:val="single" w:color="auto" w:sz="4" w:space="0"/>
              <w:bottom w:val="single" w:color="auto" w:sz="4" w:space="0"/>
            </w:tcBorders>
          </w:tcPr>
          <w:p w14:paraId="0E08A0E9">
            <w:pPr>
              <w:spacing w:line="360" w:lineRule="auto"/>
              <w:rPr>
                <w:rFonts w:ascii="Times New Roman" w:hAnsi="Times New Roman" w:eastAsia="楷体_GB2312"/>
                <w:sz w:val="18"/>
                <w:szCs w:val="18"/>
              </w:rPr>
            </w:pPr>
          </w:p>
        </w:tc>
      </w:tr>
      <w:tr w14:paraId="2A2A02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tcPr>
          <w:p w14:paraId="4ECBC78A">
            <w:pPr>
              <w:spacing w:line="360" w:lineRule="auto"/>
              <w:rPr>
                <w:rFonts w:ascii="Times New Roman" w:hAnsi="Times New Roman" w:eastAsia="楷体_GB2312"/>
                <w:color w:val="000000"/>
                <w:sz w:val="18"/>
                <w:szCs w:val="18"/>
              </w:rPr>
            </w:pPr>
            <w:r>
              <w:rPr>
                <w:rFonts w:ascii="Times New Roman" w:hAnsi="Times New Roman" w:eastAsia="楷体_GB2312"/>
                <w:color w:val="000000"/>
                <w:sz w:val="18"/>
                <w:szCs w:val="18"/>
                <w:lang w:bidi="ar"/>
              </w:rPr>
              <w:t>持续购买入池总金额</w:t>
            </w:r>
          </w:p>
        </w:tc>
        <w:tc>
          <w:tcPr>
            <w:tcW w:w="2268" w:type="dxa"/>
            <w:gridSpan w:val="3"/>
            <w:tcBorders>
              <w:top w:val="single" w:color="auto" w:sz="4" w:space="0"/>
              <w:left w:val="single" w:color="auto" w:sz="4" w:space="0"/>
              <w:bottom w:val="single" w:color="auto" w:sz="4" w:space="0"/>
              <w:right w:val="single" w:color="auto" w:sz="4" w:space="0"/>
            </w:tcBorders>
          </w:tcPr>
          <w:p w14:paraId="7AB2CB2D">
            <w:pPr>
              <w:spacing w:line="360" w:lineRule="auto"/>
              <w:rPr>
                <w:rFonts w:ascii="Times New Roman" w:hAnsi="Times New Roman" w:eastAsia="楷体_GB2312"/>
                <w:sz w:val="18"/>
                <w:szCs w:val="18"/>
              </w:rPr>
            </w:pPr>
          </w:p>
        </w:tc>
        <w:tc>
          <w:tcPr>
            <w:tcW w:w="2268" w:type="dxa"/>
            <w:gridSpan w:val="2"/>
            <w:tcBorders>
              <w:top w:val="single" w:color="auto" w:sz="4" w:space="0"/>
              <w:left w:val="single" w:color="auto" w:sz="4" w:space="0"/>
              <w:bottom w:val="single" w:color="auto" w:sz="4" w:space="0"/>
            </w:tcBorders>
          </w:tcPr>
          <w:p w14:paraId="38297994">
            <w:pPr>
              <w:spacing w:line="360" w:lineRule="auto"/>
              <w:rPr>
                <w:rFonts w:ascii="Times New Roman" w:hAnsi="Times New Roman" w:eastAsia="楷体_GB2312"/>
                <w:sz w:val="18"/>
                <w:szCs w:val="18"/>
              </w:rPr>
            </w:pPr>
          </w:p>
        </w:tc>
      </w:tr>
      <w:tr w14:paraId="06E491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tcPr>
          <w:p w14:paraId="28BE0D1E">
            <w:pPr>
              <w:spacing w:line="360" w:lineRule="auto"/>
              <w:rPr>
                <w:rFonts w:ascii="Times New Roman" w:hAnsi="Times New Roman" w:eastAsia="楷体_GB2312"/>
                <w:sz w:val="18"/>
                <w:szCs w:val="18"/>
              </w:rPr>
            </w:pPr>
            <w:r>
              <w:rPr>
                <w:rFonts w:ascii="Times New Roman" w:hAnsi="Times New Roman" w:eastAsia="楷体_GB2312"/>
                <w:color w:val="000000"/>
                <w:sz w:val="18"/>
                <w:szCs w:val="18"/>
              </w:rPr>
              <w:t>购买率</w:t>
            </w:r>
            <w:r>
              <w:rPr>
                <w:rFonts w:ascii="Times New Roman" w:hAnsi="Times New Roman" w:eastAsia="楷体_GB2312"/>
                <w:color w:val="000000"/>
                <w:sz w:val="18"/>
                <w:szCs w:val="18"/>
                <w:lang w:bidi="ar"/>
              </w:rPr>
              <w:t>（%）</w:t>
            </w:r>
          </w:p>
        </w:tc>
        <w:tc>
          <w:tcPr>
            <w:tcW w:w="2268" w:type="dxa"/>
            <w:gridSpan w:val="3"/>
            <w:tcBorders>
              <w:top w:val="single" w:color="auto" w:sz="4" w:space="0"/>
              <w:left w:val="single" w:color="auto" w:sz="4" w:space="0"/>
              <w:bottom w:val="single" w:color="auto" w:sz="4" w:space="0"/>
              <w:right w:val="single" w:color="auto" w:sz="4" w:space="0"/>
            </w:tcBorders>
          </w:tcPr>
          <w:p w14:paraId="1E0A1064">
            <w:pPr>
              <w:spacing w:line="360" w:lineRule="auto"/>
              <w:rPr>
                <w:rFonts w:ascii="Times New Roman" w:hAnsi="Times New Roman" w:eastAsia="楷体_GB2312"/>
                <w:sz w:val="18"/>
                <w:szCs w:val="18"/>
              </w:rPr>
            </w:pPr>
          </w:p>
        </w:tc>
        <w:tc>
          <w:tcPr>
            <w:tcW w:w="2268" w:type="dxa"/>
            <w:gridSpan w:val="2"/>
            <w:tcBorders>
              <w:top w:val="single" w:color="auto" w:sz="4" w:space="0"/>
              <w:left w:val="single" w:color="auto" w:sz="4" w:space="0"/>
              <w:bottom w:val="single" w:color="auto" w:sz="4" w:space="0"/>
            </w:tcBorders>
          </w:tcPr>
          <w:p w14:paraId="032393AA">
            <w:pPr>
              <w:spacing w:line="360" w:lineRule="auto"/>
              <w:rPr>
                <w:rFonts w:ascii="Times New Roman" w:hAnsi="Times New Roman" w:eastAsia="楷体_GB2312"/>
                <w:sz w:val="18"/>
                <w:szCs w:val="18"/>
              </w:rPr>
            </w:pPr>
          </w:p>
        </w:tc>
      </w:tr>
      <w:tr w14:paraId="6CBD70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3531" w:type="dxa"/>
            <w:gridSpan w:val="4"/>
            <w:tcBorders>
              <w:top w:val="nil"/>
              <w:bottom w:val="single" w:color="auto" w:sz="4" w:space="0"/>
              <w:right w:val="nil"/>
            </w:tcBorders>
          </w:tcPr>
          <w:p w14:paraId="09A498A6">
            <w:pPr>
              <w:spacing w:line="360" w:lineRule="auto"/>
              <w:rPr>
                <w:rFonts w:ascii="Times New Roman" w:hAnsi="Times New Roman" w:eastAsia="楷体_GB2312"/>
                <w:b/>
                <w:sz w:val="18"/>
              </w:rPr>
            </w:pPr>
            <w:r>
              <w:rPr>
                <w:rFonts w:ascii="Times New Roman" w:hAnsi="Times New Roman" w:eastAsia="楷体_GB2312"/>
                <w:b/>
                <w:sz w:val="18"/>
              </w:rPr>
              <w:t>（二）持续购买信贷资产期限特征</w:t>
            </w:r>
          </w:p>
        </w:tc>
        <w:tc>
          <w:tcPr>
            <w:tcW w:w="580" w:type="dxa"/>
            <w:tcBorders>
              <w:top w:val="nil"/>
              <w:left w:val="nil"/>
              <w:bottom w:val="single" w:color="auto" w:sz="4" w:space="0"/>
              <w:right w:val="nil"/>
            </w:tcBorders>
          </w:tcPr>
          <w:p w14:paraId="0A80C75B">
            <w:pPr>
              <w:spacing w:line="360" w:lineRule="auto"/>
              <w:rPr>
                <w:rFonts w:ascii="Times New Roman" w:hAnsi="Times New Roman" w:eastAsia="楷体_GB2312"/>
                <w:sz w:val="18"/>
                <w:szCs w:val="18"/>
              </w:rPr>
            </w:pPr>
          </w:p>
        </w:tc>
        <w:tc>
          <w:tcPr>
            <w:tcW w:w="2268" w:type="dxa"/>
            <w:gridSpan w:val="3"/>
            <w:tcBorders>
              <w:top w:val="nil"/>
              <w:left w:val="nil"/>
              <w:bottom w:val="single" w:color="auto" w:sz="4" w:space="0"/>
              <w:right w:val="nil"/>
            </w:tcBorders>
          </w:tcPr>
          <w:p w14:paraId="096C94FA">
            <w:pPr>
              <w:spacing w:line="360" w:lineRule="auto"/>
              <w:rPr>
                <w:rFonts w:ascii="Times New Roman" w:hAnsi="Times New Roman" w:eastAsia="楷体_GB2312"/>
                <w:sz w:val="18"/>
                <w:szCs w:val="18"/>
              </w:rPr>
            </w:pPr>
          </w:p>
        </w:tc>
        <w:tc>
          <w:tcPr>
            <w:tcW w:w="2268" w:type="dxa"/>
            <w:gridSpan w:val="2"/>
            <w:tcBorders>
              <w:top w:val="nil"/>
              <w:left w:val="nil"/>
              <w:bottom w:val="single" w:color="auto" w:sz="4" w:space="0"/>
            </w:tcBorders>
          </w:tcPr>
          <w:p w14:paraId="259C001F">
            <w:pPr>
              <w:spacing w:line="360" w:lineRule="auto"/>
              <w:rPr>
                <w:rFonts w:ascii="Times New Roman" w:hAnsi="Times New Roman" w:eastAsia="楷体_GB2312"/>
                <w:sz w:val="18"/>
                <w:szCs w:val="18"/>
              </w:rPr>
            </w:pPr>
          </w:p>
        </w:tc>
      </w:tr>
      <w:tr w14:paraId="485B2A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tcPr>
          <w:p w14:paraId="3A92674C">
            <w:pPr>
              <w:spacing w:line="360" w:lineRule="auto"/>
              <w:jc w:val="center"/>
              <w:rPr>
                <w:rFonts w:ascii="Times New Roman" w:hAnsi="Times New Roman" w:eastAsia="楷体_GB2312"/>
                <w:b/>
                <w:sz w:val="18"/>
                <w:szCs w:val="18"/>
              </w:rPr>
            </w:pPr>
            <w:r>
              <w:rPr>
                <w:rFonts w:ascii="Times New Roman" w:hAnsi="Times New Roman" w:eastAsia="楷体_GB2312"/>
                <w:b/>
                <w:sz w:val="18"/>
                <w:szCs w:val="18"/>
              </w:rPr>
              <w:t xml:space="preserve"> </w:t>
            </w:r>
          </w:p>
        </w:tc>
        <w:tc>
          <w:tcPr>
            <w:tcW w:w="2268" w:type="dxa"/>
            <w:gridSpan w:val="3"/>
            <w:tcBorders>
              <w:top w:val="single" w:color="auto" w:sz="4" w:space="0"/>
              <w:left w:val="single" w:color="auto" w:sz="4" w:space="0"/>
              <w:bottom w:val="single" w:color="auto" w:sz="4" w:space="0"/>
              <w:right w:val="single" w:color="auto" w:sz="4" w:space="0"/>
            </w:tcBorders>
          </w:tcPr>
          <w:p w14:paraId="1D91A574">
            <w:pPr>
              <w:spacing w:line="360" w:lineRule="auto"/>
              <w:rPr>
                <w:rFonts w:ascii="Times New Roman" w:hAnsi="Times New Roman" w:eastAsia="楷体_GB2312"/>
                <w:b/>
                <w:sz w:val="18"/>
                <w:szCs w:val="18"/>
              </w:rPr>
            </w:pPr>
            <w:r>
              <w:rPr>
                <w:rFonts w:ascii="Times New Roman" w:hAnsi="Times New Roman" w:eastAsia="楷体_GB2312"/>
                <w:b/>
                <w:sz w:val="18"/>
                <w:szCs w:val="18"/>
              </w:rPr>
              <w:t>上一期期末</w:t>
            </w:r>
          </w:p>
        </w:tc>
        <w:tc>
          <w:tcPr>
            <w:tcW w:w="2268" w:type="dxa"/>
            <w:gridSpan w:val="2"/>
            <w:tcBorders>
              <w:top w:val="single" w:color="auto" w:sz="4" w:space="0"/>
              <w:left w:val="single" w:color="auto" w:sz="4" w:space="0"/>
              <w:bottom w:val="single" w:color="auto" w:sz="4" w:space="0"/>
            </w:tcBorders>
          </w:tcPr>
          <w:p w14:paraId="77851A9F">
            <w:pPr>
              <w:spacing w:line="360" w:lineRule="auto"/>
              <w:rPr>
                <w:rFonts w:ascii="Times New Roman" w:hAnsi="Times New Roman" w:eastAsia="楷体_GB2312"/>
                <w:b/>
                <w:sz w:val="18"/>
                <w:szCs w:val="18"/>
              </w:rPr>
            </w:pPr>
            <w:r>
              <w:rPr>
                <w:rFonts w:ascii="Times New Roman" w:hAnsi="Times New Roman" w:eastAsia="楷体_GB2312"/>
                <w:b/>
                <w:sz w:val="18"/>
                <w:szCs w:val="18"/>
              </w:rPr>
              <w:t>本期期末</w:t>
            </w:r>
          </w:p>
        </w:tc>
      </w:tr>
      <w:tr w14:paraId="57B735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tcPr>
          <w:p w14:paraId="6C7BD5CF">
            <w:pPr>
              <w:spacing w:line="360" w:lineRule="auto"/>
              <w:rPr>
                <w:rFonts w:ascii="Times New Roman" w:hAnsi="Times New Roman" w:eastAsia="楷体_GB2312"/>
                <w:sz w:val="18"/>
                <w:szCs w:val="18"/>
              </w:rPr>
            </w:pPr>
            <w:r>
              <w:rPr>
                <w:rFonts w:ascii="Times New Roman" w:hAnsi="Times New Roman" w:eastAsia="楷体_GB2312"/>
                <w:sz w:val="18"/>
              </w:rPr>
              <w:t>持续购买加权平均合同期限（月）</w:t>
            </w:r>
          </w:p>
        </w:tc>
        <w:tc>
          <w:tcPr>
            <w:tcW w:w="2268" w:type="dxa"/>
            <w:gridSpan w:val="3"/>
            <w:tcBorders>
              <w:top w:val="single" w:color="auto" w:sz="4" w:space="0"/>
              <w:left w:val="single" w:color="auto" w:sz="4" w:space="0"/>
              <w:bottom w:val="single" w:color="auto" w:sz="4" w:space="0"/>
              <w:right w:val="single" w:color="auto" w:sz="4" w:space="0"/>
            </w:tcBorders>
          </w:tcPr>
          <w:p w14:paraId="65C652B2">
            <w:pPr>
              <w:spacing w:line="360" w:lineRule="auto"/>
              <w:rPr>
                <w:rFonts w:ascii="Times New Roman" w:hAnsi="Times New Roman" w:eastAsia="楷体_GB2312"/>
                <w:sz w:val="18"/>
                <w:szCs w:val="18"/>
              </w:rPr>
            </w:pPr>
          </w:p>
        </w:tc>
        <w:tc>
          <w:tcPr>
            <w:tcW w:w="2268" w:type="dxa"/>
            <w:gridSpan w:val="2"/>
            <w:tcBorders>
              <w:top w:val="single" w:color="auto" w:sz="4" w:space="0"/>
              <w:left w:val="single" w:color="auto" w:sz="4" w:space="0"/>
              <w:bottom w:val="single" w:color="auto" w:sz="4" w:space="0"/>
            </w:tcBorders>
          </w:tcPr>
          <w:p w14:paraId="045F511B">
            <w:pPr>
              <w:spacing w:line="360" w:lineRule="auto"/>
              <w:rPr>
                <w:rFonts w:ascii="Times New Roman" w:hAnsi="Times New Roman" w:eastAsia="楷体_GB2312"/>
                <w:sz w:val="18"/>
                <w:szCs w:val="18"/>
              </w:rPr>
            </w:pPr>
          </w:p>
        </w:tc>
      </w:tr>
      <w:tr w14:paraId="24984F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tcPr>
          <w:p w14:paraId="2A8C4E49">
            <w:pPr>
              <w:spacing w:line="360" w:lineRule="auto"/>
              <w:rPr>
                <w:rFonts w:ascii="Times New Roman" w:hAnsi="Times New Roman" w:eastAsia="楷体_GB2312"/>
                <w:sz w:val="18"/>
                <w:szCs w:val="18"/>
              </w:rPr>
            </w:pPr>
            <w:r>
              <w:rPr>
                <w:rFonts w:ascii="Times New Roman" w:hAnsi="Times New Roman" w:eastAsia="楷体_GB2312"/>
                <w:sz w:val="18"/>
              </w:rPr>
              <w:t>持续购买加权平均剩余期限（月）</w:t>
            </w:r>
          </w:p>
        </w:tc>
        <w:tc>
          <w:tcPr>
            <w:tcW w:w="2268" w:type="dxa"/>
            <w:gridSpan w:val="3"/>
            <w:tcBorders>
              <w:top w:val="single" w:color="auto" w:sz="4" w:space="0"/>
              <w:left w:val="single" w:color="auto" w:sz="4" w:space="0"/>
              <w:bottom w:val="single" w:color="auto" w:sz="4" w:space="0"/>
              <w:right w:val="single" w:color="auto" w:sz="4" w:space="0"/>
            </w:tcBorders>
          </w:tcPr>
          <w:p w14:paraId="63A417BD">
            <w:pPr>
              <w:spacing w:line="360" w:lineRule="auto"/>
              <w:rPr>
                <w:rFonts w:ascii="Times New Roman" w:hAnsi="Times New Roman" w:eastAsia="楷体_GB2312"/>
                <w:sz w:val="18"/>
                <w:szCs w:val="18"/>
              </w:rPr>
            </w:pPr>
          </w:p>
        </w:tc>
        <w:tc>
          <w:tcPr>
            <w:tcW w:w="2268" w:type="dxa"/>
            <w:gridSpan w:val="2"/>
            <w:tcBorders>
              <w:top w:val="single" w:color="auto" w:sz="4" w:space="0"/>
              <w:left w:val="single" w:color="auto" w:sz="4" w:space="0"/>
              <w:bottom w:val="single" w:color="auto" w:sz="4" w:space="0"/>
            </w:tcBorders>
          </w:tcPr>
          <w:p w14:paraId="292FA9F8">
            <w:pPr>
              <w:spacing w:line="360" w:lineRule="auto"/>
              <w:rPr>
                <w:rFonts w:ascii="Times New Roman" w:hAnsi="Times New Roman" w:eastAsia="楷体_GB2312"/>
                <w:sz w:val="18"/>
                <w:szCs w:val="18"/>
              </w:rPr>
            </w:pPr>
          </w:p>
        </w:tc>
      </w:tr>
      <w:tr w14:paraId="169EB6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tcPr>
          <w:p w14:paraId="0235B615">
            <w:pPr>
              <w:spacing w:line="360" w:lineRule="auto"/>
              <w:rPr>
                <w:rFonts w:ascii="Times New Roman" w:hAnsi="Times New Roman" w:eastAsia="楷体_GB2312"/>
                <w:sz w:val="18"/>
                <w:szCs w:val="18"/>
              </w:rPr>
            </w:pPr>
            <w:r>
              <w:rPr>
                <w:rFonts w:ascii="Times New Roman" w:hAnsi="Times New Roman" w:eastAsia="楷体_GB2312"/>
                <w:sz w:val="18"/>
              </w:rPr>
              <w:t>持续购买加权平均账龄（月）</w:t>
            </w:r>
          </w:p>
        </w:tc>
        <w:tc>
          <w:tcPr>
            <w:tcW w:w="2268" w:type="dxa"/>
            <w:gridSpan w:val="3"/>
            <w:tcBorders>
              <w:top w:val="single" w:color="auto" w:sz="4" w:space="0"/>
              <w:left w:val="single" w:color="auto" w:sz="4" w:space="0"/>
              <w:bottom w:val="single" w:color="auto" w:sz="4" w:space="0"/>
              <w:right w:val="single" w:color="auto" w:sz="4" w:space="0"/>
            </w:tcBorders>
          </w:tcPr>
          <w:p w14:paraId="6196FE5F">
            <w:pPr>
              <w:spacing w:line="360" w:lineRule="auto"/>
              <w:rPr>
                <w:rFonts w:ascii="Times New Roman" w:hAnsi="Times New Roman" w:eastAsia="楷体_GB2312"/>
                <w:sz w:val="18"/>
                <w:szCs w:val="18"/>
              </w:rPr>
            </w:pPr>
          </w:p>
        </w:tc>
        <w:tc>
          <w:tcPr>
            <w:tcW w:w="2268" w:type="dxa"/>
            <w:gridSpan w:val="2"/>
            <w:tcBorders>
              <w:top w:val="single" w:color="auto" w:sz="4" w:space="0"/>
              <w:left w:val="single" w:color="auto" w:sz="4" w:space="0"/>
              <w:bottom w:val="single" w:color="auto" w:sz="4" w:space="0"/>
            </w:tcBorders>
          </w:tcPr>
          <w:p w14:paraId="78A96BEF">
            <w:pPr>
              <w:spacing w:line="360" w:lineRule="auto"/>
              <w:rPr>
                <w:rFonts w:ascii="Times New Roman" w:hAnsi="Times New Roman" w:eastAsia="楷体_GB2312"/>
                <w:sz w:val="18"/>
                <w:szCs w:val="18"/>
              </w:rPr>
            </w:pPr>
          </w:p>
        </w:tc>
      </w:tr>
      <w:tr w14:paraId="5A697F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tcPr>
          <w:p w14:paraId="61CB032A">
            <w:pPr>
              <w:spacing w:line="360" w:lineRule="auto"/>
              <w:rPr>
                <w:rFonts w:ascii="Times New Roman" w:hAnsi="Times New Roman" w:eastAsia="楷体_GB2312"/>
                <w:sz w:val="18"/>
                <w:szCs w:val="18"/>
              </w:rPr>
            </w:pPr>
            <w:r>
              <w:rPr>
                <w:rFonts w:ascii="Times New Roman" w:hAnsi="Times New Roman" w:eastAsia="楷体_GB2312"/>
                <w:sz w:val="18"/>
              </w:rPr>
              <w:t>持续购买单笔贷款最长到期期限（月）</w:t>
            </w:r>
          </w:p>
        </w:tc>
        <w:tc>
          <w:tcPr>
            <w:tcW w:w="2268" w:type="dxa"/>
            <w:gridSpan w:val="3"/>
            <w:tcBorders>
              <w:top w:val="single" w:color="auto" w:sz="4" w:space="0"/>
              <w:left w:val="single" w:color="auto" w:sz="4" w:space="0"/>
              <w:bottom w:val="single" w:color="auto" w:sz="4" w:space="0"/>
              <w:right w:val="single" w:color="auto" w:sz="4" w:space="0"/>
            </w:tcBorders>
          </w:tcPr>
          <w:p w14:paraId="44455FD6">
            <w:pPr>
              <w:spacing w:line="360" w:lineRule="auto"/>
              <w:rPr>
                <w:rFonts w:ascii="Times New Roman" w:hAnsi="Times New Roman" w:eastAsia="楷体_GB2312"/>
                <w:sz w:val="18"/>
                <w:szCs w:val="18"/>
              </w:rPr>
            </w:pPr>
          </w:p>
        </w:tc>
        <w:tc>
          <w:tcPr>
            <w:tcW w:w="2268" w:type="dxa"/>
            <w:gridSpan w:val="2"/>
            <w:tcBorders>
              <w:top w:val="single" w:color="auto" w:sz="4" w:space="0"/>
              <w:left w:val="single" w:color="auto" w:sz="4" w:space="0"/>
              <w:bottom w:val="single" w:color="auto" w:sz="4" w:space="0"/>
            </w:tcBorders>
          </w:tcPr>
          <w:p w14:paraId="347A7F11">
            <w:pPr>
              <w:spacing w:line="360" w:lineRule="auto"/>
              <w:rPr>
                <w:rFonts w:ascii="Times New Roman" w:hAnsi="Times New Roman" w:eastAsia="楷体_GB2312"/>
                <w:sz w:val="18"/>
                <w:szCs w:val="18"/>
              </w:rPr>
            </w:pPr>
          </w:p>
        </w:tc>
      </w:tr>
      <w:tr w14:paraId="121140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tcPr>
          <w:p w14:paraId="1C4760CF">
            <w:pPr>
              <w:spacing w:line="360" w:lineRule="auto"/>
              <w:rPr>
                <w:rFonts w:ascii="Times New Roman" w:hAnsi="Times New Roman" w:eastAsia="楷体_GB2312"/>
                <w:sz w:val="18"/>
                <w:szCs w:val="18"/>
              </w:rPr>
            </w:pPr>
            <w:r>
              <w:rPr>
                <w:rFonts w:ascii="Times New Roman" w:hAnsi="Times New Roman" w:eastAsia="楷体_GB2312"/>
                <w:sz w:val="18"/>
              </w:rPr>
              <w:t>持续购买单笔贷款最短到期期限（月）</w:t>
            </w:r>
          </w:p>
        </w:tc>
        <w:tc>
          <w:tcPr>
            <w:tcW w:w="2268" w:type="dxa"/>
            <w:gridSpan w:val="3"/>
            <w:tcBorders>
              <w:top w:val="single" w:color="auto" w:sz="4" w:space="0"/>
              <w:left w:val="single" w:color="auto" w:sz="4" w:space="0"/>
              <w:bottom w:val="single" w:color="auto" w:sz="4" w:space="0"/>
              <w:right w:val="single" w:color="auto" w:sz="4" w:space="0"/>
            </w:tcBorders>
          </w:tcPr>
          <w:p w14:paraId="7959B91E">
            <w:pPr>
              <w:spacing w:line="360" w:lineRule="auto"/>
              <w:rPr>
                <w:rFonts w:ascii="Times New Roman" w:hAnsi="Times New Roman" w:eastAsia="楷体_GB2312"/>
                <w:sz w:val="18"/>
                <w:szCs w:val="18"/>
              </w:rPr>
            </w:pPr>
          </w:p>
        </w:tc>
        <w:tc>
          <w:tcPr>
            <w:tcW w:w="2268" w:type="dxa"/>
            <w:gridSpan w:val="2"/>
            <w:tcBorders>
              <w:top w:val="single" w:color="auto" w:sz="4" w:space="0"/>
              <w:left w:val="single" w:color="auto" w:sz="4" w:space="0"/>
              <w:bottom w:val="single" w:color="auto" w:sz="4" w:space="0"/>
            </w:tcBorders>
          </w:tcPr>
          <w:p w14:paraId="021F9E87">
            <w:pPr>
              <w:spacing w:line="360" w:lineRule="auto"/>
              <w:rPr>
                <w:rFonts w:ascii="Times New Roman" w:hAnsi="Times New Roman" w:eastAsia="楷体_GB2312"/>
                <w:sz w:val="18"/>
                <w:szCs w:val="18"/>
              </w:rPr>
            </w:pPr>
          </w:p>
        </w:tc>
      </w:tr>
      <w:tr w14:paraId="075A56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7" w:type="dxa"/>
            <w:gridSpan w:val="10"/>
            <w:tcBorders>
              <w:top w:val="single" w:color="auto" w:sz="4" w:space="0"/>
              <w:bottom w:val="single" w:color="auto" w:sz="4" w:space="0"/>
            </w:tcBorders>
          </w:tcPr>
          <w:p w14:paraId="3AE1E6A7">
            <w:pPr>
              <w:spacing w:line="360" w:lineRule="auto"/>
              <w:rPr>
                <w:rFonts w:ascii="Times New Roman" w:hAnsi="Times New Roman" w:eastAsia="楷体_GB2312"/>
                <w:sz w:val="18"/>
                <w:szCs w:val="18"/>
              </w:rPr>
            </w:pPr>
            <w:r>
              <w:rPr>
                <w:rFonts w:ascii="Times New Roman" w:hAnsi="Times New Roman" w:eastAsia="楷体_GB2312"/>
                <w:b/>
                <w:sz w:val="18"/>
                <w:szCs w:val="18"/>
              </w:rPr>
              <w:t>（三）</w:t>
            </w:r>
            <w:r>
              <w:rPr>
                <w:rFonts w:ascii="Times New Roman" w:hAnsi="Times New Roman" w:eastAsia="楷体_GB2312"/>
                <w:b/>
                <w:sz w:val="18"/>
              </w:rPr>
              <w:t>持续购买信贷资产</w:t>
            </w:r>
            <w:r>
              <w:rPr>
                <w:rFonts w:ascii="Times New Roman" w:hAnsi="Times New Roman" w:eastAsia="楷体_GB2312"/>
                <w:b/>
                <w:sz w:val="18"/>
                <w:szCs w:val="18"/>
              </w:rPr>
              <w:t>利率特征</w:t>
            </w:r>
          </w:p>
        </w:tc>
      </w:tr>
      <w:tr w14:paraId="027276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tcPr>
          <w:p w14:paraId="2FB94C28">
            <w:pPr>
              <w:spacing w:line="360" w:lineRule="auto"/>
              <w:rPr>
                <w:rFonts w:ascii="Times New Roman" w:hAnsi="Times New Roman"/>
                <w:b/>
                <w:sz w:val="18"/>
                <w:szCs w:val="18"/>
              </w:rPr>
            </w:pP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tcPr>
          <w:p w14:paraId="72AB57D2">
            <w:pPr>
              <w:spacing w:line="360" w:lineRule="auto"/>
              <w:rPr>
                <w:rFonts w:ascii="Times New Roman" w:hAnsi="Times New Roman" w:eastAsia="楷体_GB2312"/>
                <w:b/>
                <w:sz w:val="18"/>
                <w:szCs w:val="18"/>
              </w:rPr>
            </w:pPr>
            <w:r>
              <w:rPr>
                <w:rFonts w:ascii="Times New Roman" w:hAnsi="Times New Roman" w:eastAsia="楷体_GB2312"/>
                <w:b/>
                <w:sz w:val="18"/>
                <w:szCs w:val="18"/>
              </w:rPr>
              <w:t>上一期期末</w:t>
            </w:r>
          </w:p>
        </w:tc>
        <w:tc>
          <w:tcPr>
            <w:tcW w:w="2268" w:type="dxa"/>
            <w:gridSpan w:val="2"/>
            <w:tcBorders>
              <w:top w:val="single" w:color="auto" w:sz="4" w:space="0"/>
              <w:left w:val="single" w:color="auto" w:sz="4" w:space="0"/>
              <w:bottom w:val="single" w:color="auto" w:sz="4" w:space="0"/>
            </w:tcBorders>
            <w:shd w:val="clear" w:color="auto" w:fill="auto"/>
          </w:tcPr>
          <w:p w14:paraId="32550375">
            <w:pPr>
              <w:spacing w:line="360" w:lineRule="auto"/>
              <w:rPr>
                <w:rFonts w:ascii="Times New Roman" w:hAnsi="Times New Roman" w:eastAsia="楷体_GB2312"/>
                <w:b/>
                <w:sz w:val="18"/>
                <w:szCs w:val="18"/>
              </w:rPr>
            </w:pPr>
            <w:r>
              <w:rPr>
                <w:rFonts w:ascii="Times New Roman" w:hAnsi="Times New Roman" w:eastAsia="楷体_GB2312"/>
                <w:b/>
                <w:sz w:val="18"/>
                <w:szCs w:val="18"/>
              </w:rPr>
              <w:t>本期期末</w:t>
            </w:r>
          </w:p>
        </w:tc>
      </w:tr>
      <w:tr w14:paraId="32AAEA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tcPr>
          <w:p w14:paraId="7C2D3C12">
            <w:pPr>
              <w:spacing w:line="360" w:lineRule="auto"/>
              <w:rPr>
                <w:rFonts w:ascii="Times New Roman" w:hAnsi="Times New Roman" w:eastAsia="楷体_GB2312"/>
                <w:sz w:val="18"/>
                <w:szCs w:val="18"/>
              </w:rPr>
            </w:pPr>
            <w:r>
              <w:rPr>
                <w:rFonts w:ascii="Times New Roman" w:hAnsi="Times New Roman" w:eastAsia="楷体_GB2312"/>
                <w:sz w:val="18"/>
              </w:rPr>
              <w:t>持续购买加权平均贷款利率</w:t>
            </w:r>
            <w:r>
              <w:rPr>
                <w:rFonts w:ascii="Times New Roman" w:hAnsi="Times New Roman" w:eastAsia="楷体_GB2312"/>
                <w:color w:val="000000"/>
                <w:sz w:val="18"/>
                <w:szCs w:val="18"/>
                <w:lang w:bidi="ar"/>
              </w:rPr>
              <w:t>（%）</w:t>
            </w:r>
          </w:p>
        </w:tc>
        <w:tc>
          <w:tcPr>
            <w:tcW w:w="2268" w:type="dxa"/>
            <w:gridSpan w:val="3"/>
            <w:tcBorders>
              <w:top w:val="single" w:color="auto" w:sz="4" w:space="0"/>
              <w:left w:val="single" w:color="auto" w:sz="4" w:space="0"/>
              <w:bottom w:val="single" w:color="auto" w:sz="4" w:space="0"/>
              <w:right w:val="single" w:color="auto" w:sz="4" w:space="0"/>
            </w:tcBorders>
          </w:tcPr>
          <w:p w14:paraId="6E666B8F">
            <w:pPr>
              <w:spacing w:line="360" w:lineRule="auto"/>
              <w:rPr>
                <w:rFonts w:ascii="Times New Roman" w:hAnsi="Times New Roman" w:eastAsia="楷体_GB2312"/>
                <w:sz w:val="18"/>
                <w:szCs w:val="18"/>
              </w:rPr>
            </w:pPr>
          </w:p>
        </w:tc>
        <w:tc>
          <w:tcPr>
            <w:tcW w:w="2268" w:type="dxa"/>
            <w:gridSpan w:val="2"/>
            <w:tcBorders>
              <w:top w:val="single" w:color="auto" w:sz="4" w:space="0"/>
              <w:left w:val="single" w:color="auto" w:sz="4" w:space="0"/>
              <w:bottom w:val="single" w:color="auto" w:sz="4" w:space="0"/>
            </w:tcBorders>
          </w:tcPr>
          <w:p w14:paraId="6A3948CE">
            <w:pPr>
              <w:spacing w:line="360" w:lineRule="auto"/>
              <w:rPr>
                <w:rFonts w:ascii="Times New Roman" w:hAnsi="Times New Roman" w:eastAsia="楷体_GB2312"/>
                <w:sz w:val="18"/>
                <w:szCs w:val="18"/>
              </w:rPr>
            </w:pPr>
          </w:p>
        </w:tc>
      </w:tr>
      <w:tr w14:paraId="4008B4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tcPr>
          <w:p w14:paraId="61EFCDB5">
            <w:pPr>
              <w:spacing w:line="360" w:lineRule="auto"/>
              <w:rPr>
                <w:rFonts w:ascii="Times New Roman" w:hAnsi="Times New Roman" w:eastAsia="楷体_GB2312"/>
                <w:sz w:val="18"/>
                <w:szCs w:val="18"/>
              </w:rPr>
            </w:pPr>
            <w:r>
              <w:rPr>
                <w:rFonts w:ascii="Times New Roman" w:hAnsi="Times New Roman" w:eastAsia="楷体_GB2312"/>
                <w:sz w:val="18"/>
              </w:rPr>
              <w:t>持续购买最高贷款利率</w:t>
            </w:r>
            <w:r>
              <w:rPr>
                <w:rFonts w:ascii="Times New Roman" w:hAnsi="Times New Roman" w:eastAsia="楷体_GB2312"/>
                <w:color w:val="000000"/>
                <w:sz w:val="18"/>
                <w:szCs w:val="18"/>
                <w:lang w:bidi="ar"/>
              </w:rPr>
              <w:t>（%）</w:t>
            </w:r>
          </w:p>
        </w:tc>
        <w:tc>
          <w:tcPr>
            <w:tcW w:w="2268" w:type="dxa"/>
            <w:gridSpan w:val="3"/>
            <w:tcBorders>
              <w:top w:val="single" w:color="auto" w:sz="4" w:space="0"/>
              <w:left w:val="single" w:color="auto" w:sz="4" w:space="0"/>
              <w:bottom w:val="single" w:color="auto" w:sz="4" w:space="0"/>
              <w:right w:val="single" w:color="auto" w:sz="4" w:space="0"/>
            </w:tcBorders>
          </w:tcPr>
          <w:p w14:paraId="47B3737E">
            <w:pPr>
              <w:spacing w:line="360" w:lineRule="auto"/>
              <w:rPr>
                <w:rFonts w:ascii="Times New Roman" w:hAnsi="Times New Roman" w:eastAsia="楷体_GB2312"/>
                <w:sz w:val="18"/>
                <w:szCs w:val="18"/>
              </w:rPr>
            </w:pPr>
          </w:p>
        </w:tc>
        <w:tc>
          <w:tcPr>
            <w:tcW w:w="2268" w:type="dxa"/>
            <w:gridSpan w:val="2"/>
            <w:tcBorders>
              <w:top w:val="single" w:color="auto" w:sz="4" w:space="0"/>
              <w:left w:val="single" w:color="auto" w:sz="4" w:space="0"/>
              <w:bottom w:val="single" w:color="auto" w:sz="4" w:space="0"/>
            </w:tcBorders>
          </w:tcPr>
          <w:p w14:paraId="4A628157">
            <w:pPr>
              <w:spacing w:line="360" w:lineRule="auto"/>
              <w:rPr>
                <w:rFonts w:ascii="Times New Roman" w:hAnsi="Times New Roman" w:eastAsia="楷体_GB2312"/>
                <w:sz w:val="18"/>
                <w:szCs w:val="18"/>
              </w:rPr>
            </w:pPr>
          </w:p>
        </w:tc>
      </w:tr>
      <w:tr w14:paraId="6765BA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tcPr>
          <w:p w14:paraId="2910FB01">
            <w:pPr>
              <w:spacing w:line="360" w:lineRule="auto"/>
              <w:rPr>
                <w:rFonts w:ascii="Times New Roman" w:hAnsi="Times New Roman" w:eastAsia="楷体_GB2312"/>
                <w:sz w:val="18"/>
                <w:szCs w:val="18"/>
              </w:rPr>
            </w:pPr>
            <w:r>
              <w:rPr>
                <w:rFonts w:ascii="Times New Roman" w:hAnsi="Times New Roman" w:eastAsia="楷体_GB2312"/>
                <w:sz w:val="18"/>
              </w:rPr>
              <w:t>持续购买最低贷款利率</w:t>
            </w:r>
            <w:r>
              <w:rPr>
                <w:rFonts w:ascii="Times New Roman" w:hAnsi="Times New Roman" w:eastAsia="楷体_GB2312"/>
                <w:color w:val="000000"/>
                <w:sz w:val="18"/>
                <w:szCs w:val="18"/>
                <w:lang w:bidi="ar"/>
              </w:rPr>
              <w:t>（%）</w:t>
            </w:r>
          </w:p>
        </w:tc>
        <w:tc>
          <w:tcPr>
            <w:tcW w:w="2268" w:type="dxa"/>
            <w:gridSpan w:val="3"/>
            <w:tcBorders>
              <w:top w:val="single" w:color="auto" w:sz="4" w:space="0"/>
              <w:left w:val="single" w:color="auto" w:sz="4" w:space="0"/>
              <w:bottom w:val="single" w:color="auto" w:sz="4" w:space="0"/>
              <w:right w:val="single" w:color="auto" w:sz="4" w:space="0"/>
            </w:tcBorders>
          </w:tcPr>
          <w:p w14:paraId="0B7A1D39">
            <w:pPr>
              <w:spacing w:line="360" w:lineRule="auto"/>
              <w:rPr>
                <w:rFonts w:ascii="Times New Roman" w:hAnsi="Times New Roman" w:eastAsia="楷体_GB2312"/>
                <w:sz w:val="18"/>
                <w:szCs w:val="18"/>
              </w:rPr>
            </w:pPr>
          </w:p>
        </w:tc>
        <w:tc>
          <w:tcPr>
            <w:tcW w:w="2268" w:type="dxa"/>
            <w:gridSpan w:val="2"/>
            <w:tcBorders>
              <w:top w:val="single" w:color="auto" w:sz="4" w:space="0"/>
              <w:left w:val="single" w:color="auto" w:sz="4" w:space="0"/>
              <w:bottom w:val="single" w:color="auto" w:sz="4" w:space="0"/>
            </w:tcBorders>
          </w:tcPr>
          <w:p w14:paraId="66BFCE99">
            <w:pPr>
              <w:spacing w:line="360" w:lineRule="auto"/>
              <w:rPr>
                <w:rFonts w:ascii="Times New Roman" w:hAnsi="Times New Roman" w:eastAsia="楷体_GB2312"/>
                <w:sz w:val="18"/>
                <w:szCs w:val="18"/>
              </w:rPr>
            </w:pPr>
          </w:p>
        </w:tc>
      </w:tr>
      <w:tr w14:paraId="51C8DB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7" w:type="dxa"/>
            <w:gridSpan w:val="10"/>
            <w:tcBorders>
              <w:top w:val="single" w:color="auto" w:sz="4" w:space="0"/>
              <w:bottom w:val="single" w:color="auto" w:sz="4" w:space="0"/>
            </w:tcBorders>
          </w:tcPr>
          <w:p w14:paraId="44C196F4">
            <w:pPr>
              <w:spacing w:line="360" w:lineRule="auto"/>
              <w:rPr>
                <w:rFonts w:ascii="Times New Roman" w:hAnsi="Times New Roman" w:eastAsia="楷体_GB2312"/>
                <w:sz w:val="18"/>
                <w:szCs w:val="18"/>
              </w:rPr>
            </w:pPr>
            <w:r>
              <w:rPr>
                <w:rFonts w:ascii="Times New Roman" w:hAnsi="Times New Roman" w:eastAsia="楷体_GB2312"/>
                <w:b/>
                <w:sz w:val="18"/>
                <w:szCs w:val="18"/>
              </w:rPr>
              <w:t>（四）持续购买借款人特征</w:t>
            </w:r>
          </w:p>
        </w:tc>
      </w:tr>
      <w:tr w14:paraId="1BB2E4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tcPr>
          <w:p w14:paraId="219D1E9A">
            <w:pPr>
              <w:spacing w:line="360" w:lineRule="auto"/>
              <w:rPr>
                <w:rFonts w:ascii="Times New Roman" w:hAnsi="Times New Roman" w:eastAsia="楷体_GB2312"/>
                <w:sz w:val="18"/>
              </w:rPr>
            </w:pPr>
          </w:p>
        </w:tc>
        <w:tc>
          <w:tcPr>
            <w:tcW w:w="2268" w:type="dxa"/>
            <w:gridSpan w:val="3"/>
            <w:tcBorders>
              <w:top w:val="single" w:color="auto" w:sz="4" w:space="0"/>
              <w:left w:val="single" w:color="auto" w:sz="4" w:space="0"/>
              <w:bottom w:val="single" w:color="auto" w:sz="4" w:space="0"/>
              <w:right w:val="single" w:color="auto" w:sz="4" w:space="0"/>
            </w:tcBorders>
          </w:tcPr>
          <w:p w14:paraId="23ABBF42">
            <w:pPr>
              <w:spacing w:line="360" w:lineRule="auto"/>
              <w:rPr>
                <w:rFonts w:ascii="Times New Roman" w:hAnsi="Times New Roman" w:eastAsia="楷体_GB2312"/>
                <w:sz w:val="18"/>
                <w:szCs w:val="18"/>
              </w:rPr>
            </w:pPr>
            <w:r>
              <w:rPr>
                <w:rFonts w:ascii="Times New Roman" w:hAnsi="Times New Roman" w:eastAsia="楷体_GB2312"/>
                <w:b/>
                <w:sz w:val="18"/>
                <w:szCs w:val="18"/>
              </w:rPr>
              <w:t>上一期期末</w:t>
            </w:r>
          </w:p>
        </w:tc>
        <w:tc>
          <w:tcPr>
            <w:tcW w:w="2268" w:type="dxa"/>
            <w:gridSpan w:val="2"/>
            <w:tcBorders>
              <w:top w:val="single" w:color="auto" w:sz="4" w:space="0"/>
              <w:left w:val="single" w:color="auto" w:sz="4" w:space="0"/>
              <w:bottom w:val="single" w:color="auto" w:sz="4" w:space="0"/>
            </w:tcBorders>
          </w:tcPr>
          <w:p w14:paraId="0ED4FB21">
            <w:pPr>
              <w:spacing w:line="360" w:lineRule="auto"/>
              <w:rPr>
                <w:rFonts w:ascii="Times New Roman" w:hAnsi="Times New Roman" w:eastAsia="楷体_GB2312"/>
                <w:sz w:val="18"/>
                <w:szCs w:val="18"/>
              </w:rPr>
            </w:pPr>
            <w:r>
              <w:rPr>
                <w:rFonts w:ascii="Times New Roman" w:hAnsi="Times New Roman" w:eastAsia="楷体_GB2312"/>
                <w:b/>
                <w:sz w:val="18"/>
                <w:szCs w:val="18"/>
              </w:rPr>
              <w:t>本期期末</w:t>
            </w:r>
          </w:p>
        </w:tc>
      </w:tr>
      <w:tr w14:paraId="3AE55C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vAlign w:val="center"/>
          </w:tcPr>
          <w:p w14:paraId="38FA8EF8">
            <w:pPr>
              <w:spacing w:line="360" w:lineRule="auto"/>
              <w:rPr>
                <w:rFonts w:ascii="Times New Roman" w:hAnsi="Times New Roman" w:eastAsia="楷体_GB2312"/>
                <w:sz w:val="18"/>
              </w:rPr>
            </w:pPr>
            <w:r>
              <w:rPr>
                <w:rFonts w:ascii="Times New Roman" w:hAnsi="Times New Roman" w:eastAsia="楷体_GB2312"/>
                <w:sz w:val="18"/>
                <w:szCs w:val="18"/>
              </w:rPr>
              <w:t>持续购买借款人的加权平均年龄</w:t>
            </w:r>
          </w:p>
        </w:tc>
        <w:tc>
          <w:tcPr>
            <w:tcW w:w="2268" w:type="dxa"/>
            <w:gridSpan w:val="3"/>
            <w:tcBorders>
              <w:top w:val="single" w:color="auto" w:sz="4" w:space="0"/>
              <w:left w:val="single" w:color="auto" w:sz="4" w:space="0"/>
              <w:bottom w:val="single" w:color="auto" w:sz="4" w:space="0"/>
              <w:right w:val="single" w:color="auto" w:sz="4" w:space="0"/>
            </w:tcBorders>
          </w:tcPr>
          <w:p w14:paraId="7F4B91B0">
            <w:pPr>
              <w:spacing w:line="360" w:lineRule="auto"/>
              <w:rPr>
                <w:rFonts w:ascii="Times New Roman" w:hAnsi="Times New Roman" w:eastAsia="楷体_GB2312"/>
                <w:sz w:val="18"/>
                <w:szCs w:val="18"/>
              </w:rPr>
            </w:pPr>
          </w:p>
        </w:tc>
        <w:tc>
          <w:tcPr>
            <w:tcW w:w="2268" w:type="dxa"/>
            <w:gridSpan w:val="2"/>
            <w:tcBorders>
              <w:top w:val="single" w:color="auto" w:sz="4" w:space="0"/>
              <w:left w:val="single" w:color="auto" w:sz="4" w:space="0"/>
              <w:bottom w:val="single" w:color="auto" w:sz="4" w:space="0"/>
            </w:tcBorders>
          </w:tcPr>
          <w:p w14:paraId="112105BA">
            <w:pPr>
              <w:spacing w:line="360" w:lineRule="auto"/>
              <w:rPr>
                <w:rFonts w:ascii="Times New Roman" w:hAnsi="Times New Roman" w:eastAsia="楷体_GB2312"/>
                <w:sz w:val="18"/>
                <w:szCs w:val="18"/>
              </w:rPr>
            </w:pPr>
          </w:p>
        </w:tc>
      </w:tr>
      <w:tr w14:paraId="1187AF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vAlign w:val="center"/>
          </w:tcPr>
          <w:p w14:paraId="0C1C7EF8">
            <w:pPr>
              <w:spacing w:line="360" w:lineRule="auto"/>
              <w:rPr>
                <w:rFonts w:ascii="Times New Roman" w:hAnsi="Times New Roman" w:eastAsia="楷体_GB2312"/>
                <w:sz w:val="18"/>
              </w:rPr>
            </w:pPr>
            <w:r>
              <w:rPr>
                <w:rFonts w:ascii="Times New Roman" w:hAnsi="Times New Roman" w:eastAsia="楷体_GB2312"/>
                <w:sz w:val="18"/>
                <w:szCs w:val="18"/>
              </w:rPr>
              <w:t>持续购买【】-【】岁借款人贷款的金额占比</w:t>
            </w:r>
          </w:p>
        </w:tc>
        <w:tc>
          <w:tcPr>
            <w:tcW w:w="2268" w:type="dxa"/>
            <w:gridSpan w:val="3"/>
            <w:tcBorders>
              <w:top w:val="single" w:color="auto" w:sz="4" w:space="0"/>
              <w:left w:val="single" w:color="auto" w:sz="4" w:space="0"/>
              <w:bottom w:val="single" w:color="auto" w:sz="4" w:space="0"/>
              <w:right w:val="single" w:color="auto" w:sz="4" w:space="0"/>
            </w:tcBorders>
          </w:tcPr>
          <w:p w14:paraId="3C3F993B">
            <w:pPr>
              <w:spacing w:line="360" w:lineRule="auto"/>
              <w:rPr>
                <w:rFonts w:ascii="Times New Roman" w:hAnsi="Times New Roman" w:eastAsia="楷体_GB2312"/>
                <w:sz w:val="18"/>
                <w:szCs w:val="18"/>
              </w:rPr>
            </w:pPr>
          </w:p>
        </w:tc>
        <w:tc>
          <w:tcPr>
            <w:tcW w:w="2268" w:type="dxa"/>
            <w:gridSpan w:val="2"/>
            <w:tcBorders>
              <w:top w:val="single" w:color="auto" w:sz="4" w:space="0"/>
              <w:left w:val="single" w:color="auto" w:sz="4" w:space="0"/>
              <w:bottom w:val="single" w:color="auto" w:sz="4" w:space="0"/>
            </w:tcBorders>
          </w:tcPr>
          <w:p w14:paraId="6EE63B8E">
            <w:pPr>
              <w:spacing w:line="360" w:lineRule="auto"/>
              <w:rPr>
                <w:rFonts w:ascii="Times New Roman" w:hAnsi="Times New Roman" w:eastAsia="楷体_GB2312"/>
                <w:sz w:val="18"/>
                <w:szCs w:val="18"/>
              </w:rPr>
            </w:pPr>
          </w:p>
        </w:tc>
      </w:tr>
      <w:tr w14:paraId="3FE75C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vAlign w:val="center"/>
          </w:tcPr>
          <w:p w14:paraId="1D68418C">
            <w:pPr>
              <w:spacing w:line="360" w:lineRule="auto"/>
              <w:rPr>
                <w:rFonts w:ascii="Times New Roman" w:hAnsi="Times New Roman" w:eastAsia="楷体_GB2312"/>
                <w:sz w:val="18"/>
              </w:rPr>
            </w:pPr>
            <w:r>
              <w:rPr>
                <w:rFonts w:ascii="Times New Roman" w:hAnsi="Times New Roman" w:eastAsia="楷体_GB2312"/>
                <w:sz w:val="18"/>
                <w:szCs w:val="18"/>
              </w:rPr>
              <w:t>持续购买借款人加权平均年收入（元）</w:t>
            </w:r>
          </w:p>
        </w:tc>
        <w:tc>
          <w:tcPr>
            <w:tcW w:w="2268" w:type="dxa"/>
            <w:gridSpan w:val="3"/>
            <w:tcBorders>
              <w:top w:val="single" w:color="auto" w:sz="4" w:space="0"/>
              <w:left w:val="single" w:color="auto" w:sz="4" w:space="0"/>
              <w:bottom w:val="single" w:color="auto" w:sz="4" w:space="0"/>
              <w:right w:val="single" w:color="auto" w:sz="4" w:space="0"/>
            </w:tcBorders>
          </w:tcPr>
          <w:p w14:paraId="43A75DD8">
            <w:pPr>
              <w:spacing w:line="360" w:lineRule="auto"/>
              <w:rPr>
                <w:rFonts w:ascii="Times New Roman" w:hAnsi="Times New Roman" w:eastAsia="楷体_GB2312"/>
                <w:sz w:val="18"/>
                <w:szCs w:val="18"/>
              </w:rPr>
            </w:pPr>
          </w:p>
        </w:tc>
        <w:tc>
          <w:tcPr>
            <w:tcW w:w="2268" w:type="dxa"/>
            <w:gridSpan w:val="2"/>
            <w:tcBorders>
              <w:top w:val="single" w:color="auto" w:sz="4" w:space="0"/>
              <w:left w:val="single" w:color="auto" w:sz="4" w:space="0"/>
              <w:bottom w:val="single" w:color="auto" w:sz="4" w:space="0"/>
            </w:tcBorders>
          </w:tcPr>
          <w:p w14:paraId="06C7F3F9">
            <w:pPr>
              <w:spacing w:line="360" w:lineRule="auto"/>
              <w:rPr>
                <w:rFonts w:ascii="Times New Roman" w:hAnsi="Times New Roman" w:eastAsia="楷体_GB2312"/>
                <w:sz w:val="18"/>
                <w:szCs w:val="18"/>
              </w:rPr>
            </w:pPr>
          </w:p>
        </w:tc>
      </w:tr>
      <w:tr w14:paraId="2112A9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vAlign w:val="center"/>
          </w:tcPr>
          <w:p w14:paraId="29D0465D">
            <w:pPr>
              <w:spacing w:line="360" w:lineRule="auto"/>
              <w:rPr>
                <w:rFonts w:ascii="Times New Roman" w:hAnsi="Times New Roman" w:eastAsia="楷体_GB2312"/>
                <w:sz w:val="18"/>
              </w:rPr>
            </w:pPr>
            <w:r>
              <w:rPr>
                <w:rFonts w:ascii="Times New Roman" w:hAnsi="Times New Roman" w:eastAsia="楷体_GB2312"/>
                <w:sz w:val="18"/>
                <w:szCs w:val="18"/>
              </w:rPr>
              <w:t>持续购买借款人加权平均收入债务比</w:t>
            </w:r>
          </w:p>
        </w:tc>
        <w:tc>
          <w:tcPr>
            <w:tcW w:w="2268" w:type="dxa"/>
            <w:gridSpan w:val="3"/>
            <w:tcBorders>
              <w:top w:val="single" w:color="auto" w:sz="4" w:space="0"/>
              <w:left w:val="single" w:color="auto" w:sz="4" w:space="0"/>
              <w:bottom w:val="single" w:color="auto" w:sz="4" w:space="0"/>
              <w:right w:val="single" w:color="auto" w:sz="4" w:space="0"/>
            </w:tcBorders>
          </w:tcPr>
          <w:p w14:paraId="3628360D">
            <w:pPr>
              <w:spacing w:line="360" w:lineRule="auto"/>
              <w:rPr>
                <w:rFonts w:ascii="Times New Roman" w:hAnsi="Times New Roman" w:eastAsia="楷体_GB2312"/>
                <w:sz w:val="18"/>
                <w:szCs w:val="18"/>
              </w:rPr>
            </w:pPr>
          </w:p>
        </w:tc>
        <w:tc>
          <w:tcPr>
            <w:tcW w:w="2268" w:type="dxa"/>
            <w:gridSpan w:val="2"/>
            <w:tcBorders>
              <w:top w:val="single" w:color="auto" w:sz="4" w:space="0"/>
              <w:left w:val="single" w:color="auto" w:sz="4" w:space="0"/>
              <w:bottom w:val="single" w:color="auto" w:sz="4" w:space="0"/>
            </w:tcBorders>
          </w:tcPr>
          <w:p w14:paraId="3FAE6983">
            <w:pPr>
              <w:spacing w:line="360" w:lineRule="auto"/>
              <w:rPr>
                <w:rFonts w:ascii="Times New Roman" w:hAnsi="Times New Roman" w:eastAsia="楷体_GB2312"/>
                <w:sz w:val="18"/>
                <w:szCs w:val="18"/>
              </w:rPr>
            </w:pPr>
          </w:p>
        </w:tc>
      </w:tr>
      <w:tr w14:paraId="3E596D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7" w:type="dxa"/>
            <w:gridSpan w:val="10"/>
            <w:tcBorders>
              <w:top w:val="single" w:color="auto" w:sz="4" w:space="0"/>
              <w:bottom w:val="single" w:color="auto" w:sz="4" w:space="0"/>
            </w:tcBorders>
            <w:vAlign w:val="center"/>
          </w:tcPr>
          <w:p w14:paraId="6408BD77">
            <w:pPr>
              <w:spacing w:line="360" w:lineRule="auto"/>
              <w:rPr>
                <w:rFonts w:ascii="Times New Roman" w:hAnsi="Times New Roman" w:eastAsia="楷体_GB2312"/>
                <w:sz w:val="18"/>
                <w:szCs w:val="18"/>
              </w:rPr>
            </w:pPr>
            <w:r>
              <w:rPr>
                <w:rFonts w:ascii="Times New Roman" w:hAnsi="Times New Roman" w:eastAsia="楷体_GB2312"/>
                <w:b/>
                <w:sz w:val="18"/>
                <w:szCs w:val="18"/>
              </w:rPr>
              <w:t>（五）持续购买贷款用途</w:t>
            </w:r>
          </w:p>
        </w:tc>
      </w:tr>
      <w:tr w14:paraId="2345E6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vAlign w:val="center"/>
          </w:tcPr>
          <w:p w14:paraId="07CD7719">
            <w:pPr>
              <w:spacing w:line="360" w:lineRule="auto"/>
              <w:rPr>
                <w:rFonts w:ascii="Times New Roman" w:hAnsi="Times New Roman" w:eastAsia="楷体_GB2312"/>
                <w:sz w:val="18"/>
                <w:szCs w:val="18"/>
              </w:rPr>
            </w:pPr>
          </w:p>
        </w:tc>
        <w:tc>
          <w:tcPr>
            <w:tcW w:w="2268" w:type="dxa"/>
            <w:gridSpan w:val="3"/>
            <w:tcBorders>
              <w:top w:val="single" w:color="auto" w:sz="4" w:space="0"/>
              <w:left w:val="single" w:color="auto" w:sz="4" w:space="0"/>
              <w:bottom w:val="single" w:color="auto" w:sz="4" w:space="0"/>
              <w:right w:val="single" w:color="auto" w:sz="4" w:space="0"/>
            </w:tcBorders>
          </w:tcPr>
          <w:p w14:paraId="705EB3A0">
            <w:pPr>
              <w:spacing w:line="360" w:lineRule="auto"/>
              <w:rPr>
                <w:rFonts w:ascii="Times New Roman" w:hAnsi="Times New Roman" w:eastAsia="楷体_GB2312"/>
                <w:sz w:val="18"/>
                <w:szCs w:val="18"/>
              </w:rPr>
            </w:pPr>
            <w:r>
              <w:rPr>
                <w:rFonts w:ascii="Times New Roman" w:hAnsi="Times New Roman" w:eastAsia="楷体_GB2312"/>
                <w:b/>
                <w:sz w:val="18"/>
                <w:szCs w:val="18"/>
              </w:rPr>
              <w:t>上一期期末</w:t>
            </w:r>
          </w:p>
        </w:tc>
        <w:tc>
          <w:tcPr>
            <w:tcW w:w="2268" w:type="dxa"/>
            <w:gridSpan w:val="2"/>
            <w:tcBorders>
              <w:top w:val="single" w:color="auto" w:sz="4" w:space="0"/>
              <w:left w:val="single" w:color="auto" w:sz="4" w:space="0"/>
              <w:bottom w:val="single" w:color="auto" w:sz="4" w:space="0"/>
            </w:tcBorders>
          </w:tcPr>
          <w:p w14:paraId="7C1DEE24">
            <w:pPr>
              <w:spacing w:line="360" w:lineRule="auto"/>
              <w:rPr>
                <w:rFonts w:ascii="Times New Roman" w:hAnsi="Times New Roman" w:eastAsia="楷体_GB2312"/>
                <w:sz w:val="18"/>
                <w:szCs w:val="18"/>
              </w:rPr>
            </w:pPr>
            <w:r>
              <w:rPr>
                <w:rFonts w:ascii="Times New Roman" w:hAnsi="Times New Roman" w:eastAsia="楷体_GB2312"/>
                <w:b/>
                <w:sz w:val="18"/>
                <w:szCs w:val="18"/>
              </w:rPr>
              <w:t>本期期末</w:t>
            </w:r>
          </w:p>
        </w:tc>
      </w:tr>
      <w:tr w14:paraId="2CDF1F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vAlign w:val="center"/>
          </w:tcPr>
          <w:p w14:paraId="4BA397C3">
            <w:pPr>
              <w:spacing w:line="360" w:lineRule="auto"/>
              <w:rPr>
                <w:rFonts w:ascii="Times New Roman" w:hAnsi="Times New Roman" w:eastAsia="楷体_GB2312"/>
                <w:sz w:val="18"/>
                <w:szCs w:val="18"/>
              </w:rPr>
            </w:pPr>
            <w:r>
              <w:rPr>
                <w:rFonts w:ascii="Times New Roman" w:hAnsi="Times New Roman" w:eastAsia="楷体_GB2312"/>
                <w:sz w:val="18"/>
                <w:szCs w:val="18"/>
              </w:rPr>
              <w:t>【】</w:t>
            </w:r>
          </w:p>
        </w:tc>
        <w:tc>
          <w:tcPr>
            <w:tcW w:w="2268" w:type="dxa"/>
            <w:gridSpan w:val="3"/>
            <w:tcBorders>
              <w:top w:val="single" w:color="auto" w:sz="4" w:space="0"/>
              <w:left w:val="single" w:color="auto" w:sz="4" w:space="0"/>
              <w:bottom w:val="single" w:color="auto" w:sz="4" w:space="0"/>
              <w:right w:val="single" w:color="auto" w:sz="4" w:space="0"/>
            </w:tcBorders>
          </w:tcPr>
          <w:p w14:paraId="5E01F818">
            <w:pPr>
              <w:spacing w:line="360" w:lineRule="auto"/>
              <w:rPr>
                <w:rFonts w:ascii="Times New Roman" w:hAnsi="Times New Roman" w:eastAsia="楷体_GB2312"/>
                <w:sz w:val="18"/>
                <w:szCs w:val="18"/>
              </w:rPr>
            </w:pPr>
          </w:p>
        </w:tc>
        <w:tc>
          <w:tcPr>
            <w:tcW w:w="2268" w:type="dxa"/>
            <w:gridSpan w:val="2"/>
            <w:tcBorders>
              <w:top w:val="single" w:color="auto" w:sz="4" w:space="0"/>
              <w:left w:val="single" w:color="auto" w:sz="4" w:space="0"/>
              <w:bottom w:val="single" w:color="auto" w:sz="4" w:space="0"/>
            </w:tcBorders>
          </w:tcPr>
          <w:p w14:paraId="0C978BE9">
            <w:pPr>
              <w:spacing w:line="360" w:lineRule="auto"/>
              <w:rPr>
                <w:rFonts w:ascii="Times New Roman" w:hAnsi="Times New Roman" w:eastAsia="楷体_GB2312"/>
                <w:sz w:val="18"/>
                <w:szCs w:val="18"/>
              </w:rPr>
            </w:pPr>
          </w:p>
        </w:tc>
      </w:tr>
      <w:tr w14:paraId="62CAF3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vAlign w:val="center"/>
          </w:tcPr>
          <w:p w14:paraId="06C05C30">
            <w:pPr>
              <w:spacing w:line="360" w:lineRule="auto"/>
              <w:rPr>
                <w:rFonts w:ascii="Times New Roman" w:hAnsi="Times New Roman" w:eastAsia="楷体_GB2312"/>
                <w:sz w:val="18"/>
                <w:szCs w:val="18"/>
              </w:rPr>
            </w:pPr>
            <w:r>
              <w:rPr>
                <w:rFonts w:ascii="Times New Roman" w:hAnsi="Times New Roman" w:eastAsia="楷体_GB2312"/>
                <w:sz w:val="18"/>
                <w:szCs w:val="18"/>
              </w:rPr>
              <w:t>【】</w:t>
            </w:r>
          </w:p>
        </w:tc>
        <w:tc>
          <w:tcPr>
            <w:tcW w:w="2268" w:type="dxa"/>
            <w:gridSpan w:val="3"/>
            <w:tcBorders>
              <w:top w:val="single" w:color="auto" w:sz="4" w:space="0"/>
              <w:left w:val="single" w:color="auto" w:sz="4" w:space="0"/>
              <w:bottom w:val="single" w:color="auto" w:sz="4" w:space="0"/>
              <w:right w:val="single" w:color="auto" w:sz="4" w:space="0"/>
            </w:tcBorders>
          </w:tcPr>
          <w:p w14:paraId="1C9D4C0C">
            <w:pPr>
              <w:spacing w:line="360" w:lineRule="auto"/>
              <w:rPr>
                <w:rFonts w:ascii="Times New Roman" w:hAnsi="Times New Roman" w:eastAsia="楷体_GB2312"/>
                <w:sz w:val="18"/>
                <w:szCs w:val="18"/>
              </w:rPr>
            </w:pPr>
          </w:p>
        </w:tc>
        <w:tc>
          <w:tcPr>
            <w:tcW w:w="2268" w:type="dxa"/>
            <w:gridSpan w:val="2"/>
            <w:tcBorders>
              <w:top w:val="single" w:color="auto" w:sz="4" w:space="0"/>
              <w:left w:val="single" w:color="auto" w:sz="4" w:space="0"/>
              <w:bottom w:val="single" w:color="auto" w:sz="4" w:space="0"/>
            </w:tcBorders>
          </w:tcPr>
          <w:p w14:paraId="597B1B16">
            <w:pPr>
              <w:spacing w:line="360" w:lineRule="auto"/>
              <w:rPr>
                <w:rFonts w:ascii="Times New Roman" w:hAnsi="Times New Roman" w:eastAsia="楷体_GB2312"/>
                <w:sz w:val="18"/>
                <w:szCs w:val="18"/>
              </w:rPr>
            </w:pPr>
          </w:p>
        </w:tc>
      </w:tr>
      <w:tr w14:paraId="0A3B45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111" w:type="dxa"/>
            <w:gridSpan w:val="5"/>
            <w:tcBorders>
              <w:top w:val="single" w:color="auto" w:sz="4" w:space="0"/>
              <w:bottom w:val="single" w:color="auto" w:sz="4" w:space="0"/>
              <w:right w:val="single" w:color="auto" w:sz="4" w:space="0"/>
            </w:tcBorders>
            <w:vAlign w:val="center"/>
          </w:tcPr>
          <w:p w14:paraId="1EF442FE">
            <w:pPr>
              <w:spacing w:line="360" w:lineRule="auto"/>
              <w:rPr>
                <w:rFonts w:ascii="Times New Roman" w:hAnsi="Times New Roman" w:eastAsia="楷体_GB2312"/>
                <w:sz w:val="18"/>
                <w:szCs w:val="18"/>
              </w:rPr>
            </w:pPr>
            <w:r>
              <w:rPr>
                <w:rFonts w:ascii="Times New Roman" w:hAnsi="Times New Roman" w:eastAsia="楷体_GB2312"/>
                <w:sz w:val="18"/>
                <w:szCs w:val="18"/>
              </w:rPr>
              <w:t>【】</w:t>
            </w:r>
          </w:p>
        </w:tc>
        <w:tc>
          <w:tcPr>
            <w:tcW w:w="2268" w:type="dxa"/>
            <w:gridSpan w:val="3"/>
            <w:tcBorders>
              <w:top w:val="single" w:color="auto" w:sz="4" w:space="0"/>
              <w:left w:val="single" w:color="auto" w:sz="4" w:space="0"/>
              <w:bottom w:val="single" w:color="auto" w:sz="4" w:space="0"/>
              <w:right w:val="single" w:color="auto" w:sz="4" w:space="0"/>
            </w:tcBorders>
          </w:tcPr>
          <w:p w14:paraId="1BBAD4C1">
            <w:pPr>
              <w:spacing w:line="360" w:lineRule="auto"/>
              <w:rPr>
                <w:rFonts w:ascii="Times New Roman" w:hAnsi="Times New Roman" w:eastAsia="楷体_GB2312"/>
                <w:sz w:val="18"/>
                <w:szCs w:val="18"/>
              </w:rPr>
            </w:pPr>
          </w:p>
        </w:tc>
        <w:tc>
          <w:tcPr>
            <w:tcW w:w="2268" w:type="dxa"/>
            <w:gridSpan w:val="2"/>
            <w:tcBorders>
              <w:top w:val="single" w:color="auto" w:sz="4" w:space="0"/>
              <w:left w:val="single" w:color="auto" w:sz="4" w:space="0"/>
              <w:bottom w:val="single" w:color="auto" w:sz="4" w:space="0"/>
            </w:tcBorders>
          </w:tcPr>
          <w:p w14:paraId="6980B8B7">
            <w:pPr>
              <w:spacing w:line="360" w:lineRule="auto"/>
              <w:rPr>
                <w:rFonts w:ascii="Times New Roman" w:hAnsi="Times New Roman" w:eastAsia="楷体_GB2312"/>
                <w:sz w:val="18"/>
                <w:szCs w:val="18"/>
              </w:rPr>
            </w:pPr>
          </w:p>
        </w:tc>
      </w:tr>
      <w:tr w14:paraId="7103BE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8647" w:type="dxa"/>
            <w:gridSpan w:val="10"/>
            <w:tcBorders>
              <w:top w:val="single" w:color="auto" w:sz="4" w:space="0"/>
              <w:bottom w:val="single" w:color="auto" w:sz="4" w:space="0"/>
            </w:tcBorders>
          </w:tcPr>
          <w:p w14:paraId="1ED51E9A">
            <w:pPr>
              <w:spacing w:line="360" w:lineRule="auto"/>
              <w:rPr>
                <w:rFonts w:ascii="Times New Roman" w:hAnsi="Times New Roman" w:eastAsia="楷体_GB2312"/>
                <w:i/>
                <w:sz w:val="18"/>
              </w:rPr>
            </w:pPr>
            <w:r>
              <w:rPr>
                <w:rFonts w:ascii="Times New Roman" w:hAnsi="Times New Roman" w:eastAsia="楷体_GB2312"/>
                <w:b/>
                <w:sz w:val="18"/>
                <w:szCs w:val="18"/>
              </w:rPr>
              <w:t>（六）持续购买信贷资产借款人分布（个人消费类贷款）情况</w:t>
            </w:r>
          </w:p>
        </w:tc>
      </w:tr>
      <w:tr w14:paraId="712210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013" w:type="dxa"/>
            <w:tcBorders>
              <w:top w:val="single" w:color="auto" w:sz="4" w:space="0"/>
              <w:bottom w:val="single" w:color="auto" w:sz="4" w:space="0"/>
              <w:right w:val="single" w:color="auto" w:sz="4" w:space="0"/>
            </w:tcBorders>
          </w:tcPr>
          <w:p w14:paraId="37B8DC08">
            <w:pPr>
              <w:spacing w:line="360" w:lineRule="auto"/>
              <w:rPr>
                <w:rFonts w:ascii="Times New Roman" w:hAnsi="Times New Roman" w:eastAsia="楷体_GB2312"/>
                <w:sz w:val="18"/>
              </w:rPr>
            </w:pPr>
            <w:r>
              <w:rPr>
                <w:rFonts w:ascii="Times New Roman" w:hAnsi="Times New Roman" w:eastAsia="楷体_GB2312"/>
                <w:sz w:val="18"/>
                <w:szCs w:val="18"/>
              </w:rPr>
              <w:t>借款人类型</w:t>
            </w:r>
          </w:p>
        </w:tc>
        <w:tc>
          <w:tcPr>
            <w:tcW w:w="1101" w:type="dxa"/>
            <w:tcBorders>
              <w:top w:val="single" w:color="auto" w:sz="4" w:space="0"/>
              <w:left w:val="single" w:color="auto" w:sz="4" w:space="0"/>
              <w:bottom w:val="single" w:color="auto" w:sz="4" w:space="0"/>
              <w:right w:val="single" w:color="auto" w:sz="4" w:space="0"/>
            </w:tcBorders>
          </w:tcPr>
          <w:p w14:paraId="49DDFF7D">
            <w:pPr>
              <w:spacing w:line="360" w:lineRule="auto"/>
              <w:rPr>
                <w:rFonts w:ascii="Times New Roman" w:hAnsi="Times New Roman" w:eastAsia="楷体_GB2312"/>
                <w:sz w:val="18"/>
                <w:szCs w:val="18"/>
              </w:rPr>
            </w:pPr>
            <w:r>
              <w:rPr>
                <w:rFonts w:ascii="Times New Roman" w:hAnsi="Times New Roman" w:eastAsia="楷体_GB2312"/>
                <w:sz w:val="18"/>
                <w:szCs w:val="18"/>
              </w:rPr>
              <w:t>持续购买基准日未偿本金余额（万元）</w:t>
            </w:r>
          </w:p>
        </w:tc>
        <w:tc>
          <w:tcPr>
            <w:tcW w:w="1102" w:type="dxa"/>
            <w:tcBorders>
              <w:top w:val="single" w:color="auto" w:sz="4" w:space="0"/>
              <w:left w:val="single" w:color="auto" w:sz="4" w:space="0"/>
              <w:bottom w:val="single" w:color="auto" w:sz="4" w:space="0"/>
              <w:right w:val="single" w:color="auto" w:sz="4" w:space="0"/>
            </w:tcBorders>
          </w:tcPr>
          <w:p w14:paraId="649F3D6B">
            <w:pPr>
              <w:spacing w:line="360" w:lineRule="auto"/>
              <w:rPr>
                <w:rFonts w:ascii="Times New Roman" w:hAnsi="Times New Roman" w:eastAsia="楷体_GB2312"/>
                <w:sz w:val="18"/>
                <w:szCs w:val="18"/>
              </w:rPr>
            </w:pPr>
            <w:r>
              <w:rPr>
                <w:rFonts w:ascii="Times New Roman" w:hAnsi="Times New Roman" w:eastAsia="楷体_GB2312"/>
                <w:sz w:val="18"/>
                <w:szCs w:val="18"/>
              </w:rPr>
              <w:t>持续购买基准日未偿本金余额占比（%）</w:t>
            </w:r>
          </w:p>
        </w:tc>
        <w:tc>
          <w:tcPr>
            <w:tcW w:w="1105" w:type="dxa"/>
            <w:gridSpan w:val="3"/>
            <w:tcBorders>
              <w:top w:val="single" w:color="auto" w:sz="4" w:space="0"/>
              <w:left w:val="single" w:color="auto" w:sz="4" w:space="0"/>
              <w:bottom w:val="single" w:color="auto" w:sz="4" w:space="0"/>
              <w:right w:val="single" w:color="auto" w:sz="4" w:space="0"/>
            </w:tcBorders>
          </w:tcPr>
          <w:p w14:paraId="4C0417FF">
            <w:pPr>
              <w:spacing w:line="360" w:lineRule="auto"/>
              <w:rPr>
                <w:rFonts w:ascii="Times New Roman" w:hAnsi="Times New Roman" w:eastAsia="楷体_GB2312"/>
                <w:sz w:val="18"/>
                <w:szCs w:val="18"/>
              </w:rPr>
            </w:pPr>
            <w:r>
              <w:rPr>
                <w:rFonts w:ascii="Times New Roman" w:hAnsi="Times New Roman" w:eastAsia="楷体_GB2312"/>
                <w:sz w:val="18"/>
                <w:szCs w:val="18"/>
              </w:rPr>
              <w:t>本期期末贷款笔数</w:t>
            </w:r>
          </w:p>
        </w:tc>
        <w:tc>
          <w:tcPr>
            <w:tcW w:w="1101" w:type="dxa"/>
            <w:tcBorders>
              <w:top w:val="single" w:color="auto" w:sz="4" w:space="0"/>
              <w:left w:val="single" w:color="auto" w:sz="4" w:space="0"/>
              <w:bottom w:val="single" w:color="auto" w:sz="4" w:space="0"/>
              <w:right w:val="single" w:color="auto" w:sz="4" w:space="0"/>
            </w:tcBorders>
          </w:tcPr>
          <w:p w14:paraId="54198194">
            <w:pPr>
              <w:spacing w:line="360" w:lineRule="auto"/>
              <w:rPr>
                <w:rFonts w:ascii="Times New Roman" w:hAnsi="Times New Roman" w:eastAsia="楷体_GB2312"/>
                <w:sz w:val="18"/>
                <w:szCs w:val="18"/>
              </w:rPr>
            </w:pPr>
            <w:r>
              <w:rPr>
                <w:rFonts w:ascii="Times New Roman" w:hAnsi="Times New Roman" w:eastAsia="楷体_GB2312"/>
                <w:sz w:val="18"/>
                <w:szCs w:val="18"/>
              </w:rPr>
              <w:t>本期期末贷款笔数占比（%）</w:t>
            </w:r>
          </w:p>
        </w:tc>
        <w:tc>
          <w:tcPr>
            <w:tcW w:w="1100" w:type="dxa"/>
            <w:gridSpan w:val="2"/>
            <w:tcBorders>
              <w:top w:val="single" w:color="auto" w:sz="4" w:space="0"/>
              <w:left w:val="single" w:color="auto" w:sz="4" w:space="0"/>
              <w:bottom w:val="single" w:color="auto" w:sz="4" w:space="0"/>
              <w:right w:val="single" w:color="auto" w:sz="4" w:space="0"/>
            </w:tcBorders>
          </w:tcPr>
          <w:p w14:paraId="718CF2D7">
            <w:pPr>
              <w:spacing w:line="360" w:lineRule="auto"/>
              <w:rPr>
                <w:rFonts w:ascii="Times New Roman" w:hAnsi="Times New Roman" w:eastAsia="楷体_GB2312"/>
                <w:sz w:val="18"/>
                <w:szCs w:val="18"/>
              </w:rPr>
            </w:pPr>
            <w:r>
              <w:rPr>
                <w:rFonts w:ascii="Times New Roman" w:hAnsi="Times New Roman" w:eastAsia="楷体_GB2312"/>
                <w:sz w:val="18"/>
                <w:szCs w:val="18"/>
              </w:rPr>
              <w:t>本期期末未偿本金余额</w:t>
            </w:r>
          </w:p>
        </w:tc>
        <w:tc>
          <w:tcPr>
            <w:tcW w:w="2125" w:type="dxa"/>
            <w:tcBorders>
              <w:top w:val="single" w:color="auto" w:sz="4" w:space="0"/>
              <w:left w:val="single" w:color="auto" w:sz="4" w:space="0"/>
              <w:bottom w:val="single" w:color="auto" w:sz="4" w:space="0"/>
            </w:tcBorders>
          </w:tcPr>
          <w:p w14:paraId="474D0769">
            <w:pPr>
              <w:spacing w:line="360" w:lineRule="auto"/>
              <w:rPr>
                <w:rFonts w:ascii="Times New Roman" w:hAnsi="Times New Roman" w:eastAsia="楷体_GB2312"/>
                <w:sz w:val="18"/>
                <w:szCs w:val="18"/>
              </w:rPr>
            </w:pPr>
            <w:r>
              <w:rPr>
                <w:rFonts w:ascii="Times New Roman" w:hAnsi="Times New Roman" w:eastAsia="楷体_GB2312"/>
                <w:sz w:val="18"/>
                <w:szCs w:val="18"/>
              </w:rPr>
              <w:t>本期期末未偿本金余额占比（%）</w:t>
            </w:r>
          </w:p>
        </w:tc>
      </w:tr>
      <w:tr w14:paraId="470626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006" w:type="dxa"/>
            <w:tcBorders>
              <w:top w:val="single" w:color="auto" w:sz="4" w:space="0"/>
              <w:bottom w:val="single" w:color="auto" w:sz="4" w:space="0"/>
              <w:right w:val="single" w:color="auto" w:sz="4" w:space="0"/>
            </w:tcBorders>
          </w:tcPr>
          <w:p w14:paraId="42EB5127">
            <w:pPr>
              <w:spacing w:line="360" w:lineRule="auto"/>
              <w:rPr>
                <w:rFonts w:ascii="Times New Roman" w:hAnsi="Times New Roman" w:eastAsia="楷体_GB2312"/>
                <w:sz w:val="18"/>
                <w:szCs w:val="18"/>
              </w:rPr>
            </w:pPr>
            <w:r>
              <w:rPr>
                <w:rFonts w:ascii="Times New Roman" w:hAnsi="Times New Roman" w:eastAsia="楷体_GB2312"/>
                <w:sz w:val="18"/>
                <w:szCs w:val="18"/>
              </w:rPr>
              <w:t>个人消费类贷款</w:t>
            </w:r>
          </w:p>
        </w:tc>
        <w:tc>
          <w:tcPr>
            <w:tcW w:w="1101" w:type="dxa"/>
            <w:tcBorders>
              <w:top w:val="single" w:color="auto" w:sz="4" w:space="0"/>
              <w:left w:val="single" w:color="auto" w:sz="4" w:space="0"/>
              <w:bottom w:val="single" w:color="auto" w:sz="4" w:space="0"/>
              <w:right w:val="single" w:color="auto" w:sz="4" w:space="0"/>
            </w:tcBorders>
          </w:tcPr>
          <w:p w14:paraId="58952680">
            <w:pPr>
              <w:spacing w:line="360" w:lineRule="auto"/>
              <w:rPr>
                <w:rFonts w:ascii="Times New Roman" w:hAnsi="Times New Roman" w:eastAsia="楷体_GB2312"/>
                <w:sz w:val="18"/>
                <w:szCs w:val="18"/>
              </w:rPr>
            </w:pPr>
          </w:p>
        </w:tc>
        <w:tc>
          <w:tcPr>
            <w:tcW w:w="1102" w:type="dxa"/>
            <w:tcBorders>
              <w:top w:val="single" w:color="auto" w:sz="4" w:space="0"/>
              <w:left w:val="single" w:color="auto" w:sz="4" w:space="0"/>
              <w:bottom w:val="single" w:color="auto" w:sz="4" w:space="0"/>
              <w:right w:val="single" w:color="auto" w:sz="4" w:space="0"/>
            </w:tcBorders>
          </w:tcPr>
          <w:p w14:paraId="6CF2D477">
            <w:pPr>
              <w:spacing w:line="360" w:lineRule="auto"/>
              <w:rPr>
                <w:rFonts w:ascii="Times New Roman" w:hAnsi="Times New Roman" w:eastAsia="楷体_GB2312"/>
                <w:sz w:val="18"/>
                <w:szCs w:val="18"/>
              </w:rPr>
            </w:pPr>
          </w:p>
        </w:tc>
        <w:tc>
          <w:tcPr>
            <w:tcW w:w="1105" w:type="dxa"/>
            <w:gridSpan w:val="3"/>
            <w:tcBorders>
              <w:top w:val="single" w:color="auto" w:sz="4" w:space="0"/>
              <w:left w:val="single" w:color="auto" w:sz="4" w:space="0"/>
              <w:bottom w:val="single" w:color="auto" w:sz="4" w:space="0"/>
              <w:right w:val="single" w:color="auto" w:sz="4" w:space="0"/>
            </w:tcBorders>
          </w:tcPr>
          <w:p w14:paraId="3ACDBC83">
            <w:pPr>
              <w:spacing w:line="360" w:lineRule="auto"/>
              <w:rPr>
                <w:rFonts w:ascii="Times New Roman" w:hAnsi="Times New Roman" w:eastAsia="楷体_GB2312"/>
                <w:sz w:val="18"/>
                <w:szCs w:val="18"/>
              </w:rPr>
            </w:pPr>
          </w:p>
        </w:tc>
        <w:tc>
          <w:tcPr>
            <w:tcW w:w="1101" w:type="dxa"/>
            <w:tcBorders>
              <w:top w:val="single" w:color="auto" w:sz="4" w:space="0"/>
              <w:left w:val="single" w:color="auto" w:sz="4" w:space="0"/>
              <w:bottom w:val="single" w:color="auto" w:sz="4" w:space="0"/>
              <w:right w:val="single" w:color="auto" w:sz="4" w:space="0"/>
            </w:tcBorders>
          </w:tcPr>
          <w:p w14:paraId="01C5BAFF">
            <w:pPr>
              <w:spacing w:line="360" w:lineRule="auto"/>
              <w:rPr>
                <w:rFonts w:ascii="Times New Roman" w:hAnsi="Times New Roman" w:eastAsia="楷体_GB2312"/>
                <w:sz w:val="18"/>
                <w:szCs w:val="18"/>
              </w:rPr>
            </w:pPr>
          </w:p>
        </w:tc>
        <w:tc>
          <w:tcPr>
            <w:tcW w:w="1100" w:type="dxa"/>
            <w:gridSpan w:val="2"/>
            <w:tcBorders>
              <w:top w:val="single" w:color="auto" w:sz="4" w:space="0"/>
              <w:left w:val="single" w:color="auto" w:sz="4" w:space="0"/>
              <w:bottom w:val="single" w:color="auto" w:sz="4" w:space="0"/>
              <w:right w:val="single" w:color="auto" w:sz="4" w:space="0"/>
            </w:tcBorders>
          </w:tcPr>
          <w:p w14:paraId="19A36E1B">
            <w:pPr>
              <w:spacing w:line="360" w:lineRule="auto"/>
              <w:rPr>
                <w:rFonts w:ascii="Times New Roman" w:hAnsi="Times New Roman" w:eastAsia="楷体_GB2312"/>
                <w:sz w:val="18"/>
                <w:szCs w:val="18"/>
              </w:rPr>
            </w:pPr>
          </w:p>
        </w:tc>
        <w:tc>
          <w:tcPr>
            <w:tcW w:w="2125" w:type="dxa"/>
            <w:tcBorders>
              <w:top w:val="single" w:color="auto" w:sz="4" w:space="0"/>
              <w:left w:val="single" w:color="auto" w:sz="4" w:space="0"/>
              <w:bottom w:val="single" w:color="auto" w:sz="4" w:space="0"/>
            </w:tcBorders>
          </w:tcPr>
          <w:p w14:paraId="2DC3AE65">
            <w:pPr>
              <w:spacing w:line="360" w:lineRule="auto"/>
              <w:rPr>
                <w:rFonts w:ascii="Times New Roman" w:hAnsi="Times New Roman" w:eastAsia="楷体_GB2312"/>
                <w:sz w:val="18"/>
                <w:szCs w:val="18"/>
              </w:rPr>
            </w:pPr>
          </w:p>
        </w:tc>
      </w:tr>
    </w:tbl>
    <w:p w14:paraId="51F0328C">
      <w:pPr>
        <w:rPr>
          <w:rFonts w:ascii="Times New Roman" w:hAnsi="Times New Roman" w:eastAsia="华文楷体"/>
        </w:rPr>
      </w:pPr>
    </w:p>
    <w:p w14:paraId="06CFF7CF">
      <w:pPr>
        <w:rPr>
          <w:rFonts w:ascii="Times New Roman" w:hAnsi="Times New Roman" w:eastAsia="华文楷体"/>
        </w:rPr>
      </w:pPr>
      <w:r>
        <w:rPr>
          <w:rFonts w:ascii="Times New Roman" w:hAnsi="Times New Roman" w:eastAsia="华文楷体"/>
        </w:rPr>
        <w:br w:type="page"/>
      </w:r>
    </w:p>
    <w:tbl>
      <w:tblPr>
        <w:tblStyle w:val="30"/>
        <w:tblW w:w="8789"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6"/>
        <w:gridCol w:w="1572"/>
        <w:gridCol w:w="1545"/>
        <w:gridCol w:w="1560"/>
        <w:gridCol w:w="1606"/>
      </w:tblGrid>
      <w:tr w14:paraId="19553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9" w:type="dxa"/>
            <w:gridSpan w:val="5"/>
            <w:tcBorders>
              <w:bottom w:val="single" w:color="auto" w:sz="4" w:space="0"/>
            </w:tcBorders>
          </w:tcPr>
          <w:p w14:paraId="73627698">
            <w:pPr>
              <w:jc w:val="center"/>
              <w:rPr>
                <w:rFonts w:ascii="Times New Roman" w:hAnsi="Times New Roman" w:eastAsia="华文楷体"/>
                <w:b/>
                <w:sz w:val="28"/>
              </w:rPr>
            </w:pPr>
            <w:r>
              <w:rPr>
                <w:rFonts w:ascii="Times New Roman" w:hAnsi="Times New Roman" w:eastAsia="华文楷体"/>
                <w:b/>
                <w:sz w:val="28"/>
              </w:rPr>
              <w:t>【信托名称】</w:t>
            </w:r>
          </w:p>
          <w:p w14:paraId="236CA07A">
            <w:pPr>
              <w:spacing w:line="360" w:lineRule="auto"/>
              <w:jc w:val="center"/>
              <w:rPr>
                <w:rFonts w:ascii="Times New Roman" w:hAnsi="Times New Roman" w:eastAsia="楷体_GB2312"/>
                <w:b/>
              </w:rPr>
            </w:pPr>
            <w:r>
              <w:rPr>
                <w:rFonts w:ascii="Times New Roman" w:hAnsi="Times New Roman" w:eastAsia="楷体_GB2312"/>
                <w:b/>
                <w:sz w:val="28"/>
              </w:rPr>
              <w:t>受托机构月度/年度报告</w:t>
            </w:r>
          </w:p>
        </w:tc>
      </w:tr>
      <w:tr w14:paraId="65269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9" w:type="dxa"/>
            <w:gridSpan w:val="5"/>
            <w:tcBorders>
              <w:top w:val="single" w:color="auto" w:sz="4" w:space="0"/>
              <w:bottom w:val="nil"/>
            </w:tcBorders>
          </w:tcPr>
          <w:p w14:paraId="75B2BDC1">
            <w:pPr>
              <w:spacing w:line="360" w:lineRule="auto"/>
              <w:rPr>
                <w:rFonts w:ascii="Times New Roman" w:hAnsi="Times New Roman" w:eastAsia="楷体_GB2312"/>
              </w:rPr>
            </w:pPr>
            <w:r>
              <w:rPr>
                <w:rFonts w:ascii="Times New Roman" w:hAnsi="Times New Roman" w:eastAsia="楷体_GB2312"/>
                <w:b/>
              </w:rPr>
              <w:t>六、存续期基础资产持续购买分布信息</w:t>
            </w:r>
          </w:p>
        </w:tc>
      </w:tr>
      <w:tr w14:paraId="2A1AE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9" w:type="dxa"/>
            <w:gridSpan w:val="5"/>
            <w:tcBorders>
              <w:top w:val="nil"/>
              <w:left w:val="single" w:color="auto" w:sz="4" w:space="0"/>
              <w:bottom w:val="nil"/>
              <w:right w:val="single" w:color="auto" w:sz="4" w:space="0"/>
            </w:tcBorders>
            <w:shd w:val="clear" w:color="auto" w:fill="DDD9C3"/>
          </w:tcPr>
          <w:p w14:paraId="13EA99CC">
            <w:pPr>
              <w:spacing w:line="360" w:lineRule="auto"/>
              <w:rPr>
                <w:rFonts w:ascii="Times New Roman" w:hAnsi="Times New Roman" w:eastAsia="楷体_GB2312"/>
              </w:rPr>
            </w:pPr>
            <w:r>
              <w:rPr>
                <w:rFonts w:ascii="Times New Roman" w:hAnsi="Times New Roman" w:eastAsia="楷体_GB2312"/>
              </w:rPr>
              <w:t>6.1 存续期持续购买贷款分布信息</w:t>
            </w:r>
          </w:p>
        </w:tc>
      </w:tr>
      <w:tr w14:paraId="6F3C8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9" w:type="dxa"/>
            <w:gridSpan w:val="5"/>
            <w:tcBorders>
              <w:top w:val="nil"/>
              <w:left w:val="single" w:color="auto" w:sz="4" w:space="0"/>
              <w:bottom w:val="nil"/>
              <w:right w:val="single" w:color="auto" w:sz="4" w:space="0"/>
            </w:tcBorders>
            <w:shd w:val="clear" w:color="auto" w:fill="auto"/>
          </w:tcPr>
          <w:p w14:paraId="64461265">
            <w:pPr>
              <w:spacing w:line="360" w:lineRule="auto"/>
              <w:rPr>
                <w:rFonts w:ascii="Times New Roman" w:hAnsi="Times New Roman" w:eastAsia="楷体_GB2312"/>
                <w:sz w:val="16"/>
                <w:szCs w:val="16"/>
              </w:rPr>
            </w:pPr>
            <w:r>
              <w:rPr>
                <w:rFonts w:ascii="Times New Roman" w:hAnsi="Times New Roman" w:eastAsia="楷体_GB2312"/>
                <w:sz w:val="16"/>
                <w:szCs w:val="16"/>
              </w:rPr>
              <w:t>6.1.1 未偿本金余额分布</w:t>
            </w:r>
          </w:p>
        </w:tc>
      </w:tr>
      <w:tr w14:paraId="51445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29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3B32FC">
            <w:pPr>
              <w:jc w:val="center"/>
              <w:rPr>
                <w:rFonts w:ascii="Times New Roman" w:hAnsi="Times New Roman" w:eastAsia="楷体_GB2312"/>
                <w:sz w:val="16"/>
                <w:szCs w:val="16"/>
              </w:rPr>
            </w:pPr>
            <w:r>
              <w:rPr>
                <w:rFonts w:ascii="Times New Roman" w:hAnsi="Times New Roman" w:eastAsia="楷体_GB2312"/>
                <w:sz w:val="16"/>
                <w:szCs w:val="16"/>
              </w:rPr>
              <w:t>未偿本金余额(万元)</w:t>
            </w:r>
          </w:p>
        </w:tc>
        <w:tc>
          <w:tcPr>
            <w:tcW w:w="15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FABD0">
            <w:pPr>
              <w:jc w:val="center"/>
              <w:rPr>
                <w:rFonts w:ascii="Times New Roman" w:hAnsi="Times New Roman" w:eastAsia="楷体_GB2312"/>
                <w:sz w:val="16"/>
                <w:szCs w:val="16"/>
              </w:rPr>
            </w:pPr>
            <w:r>
              <w:rPr>
                <w:rFonts w:ascii="Times New Roman" w:hAnsi="Times New Roman" w:eastAsia="楷体_GB2312"/>
                <w:sz w:val="16"/>
                <w:szCs w:val="16"/>
              </w:rPr>
              <w:t>本金余额（万元）</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F223A">
            <w:pPr>
              <w:jc w:val="center"/>
              <w:rPr>
                <w:rFonts w:ascii="Times New Roman" w:hAnsi="Times New Roman" w:eastAsia="楷体_GB2312"/>
                <w:sz w:val="16"/>
                <w:szCs w:val="16"/>
              </w:rPr>
            </w:pPr>
            <w:r>
              <w:rPr>
                <w:rFonts w:ascii="Times New Roman" w:hAnsi="Times New Roman" w:eastAsia="楷体_GB2312"/>
                <w:sz w:val="16"/>
                <w:szCs w:val="16"/>
              </w:rPr>
              <w:t>本金余额占比</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1044D">
            <w:pPr>
              <w:jc w:val="center"/>
              <w:rPr>
                <w:rFonts w:ascii="Times New Roman" w:hAnsi="Times New Roman" w:eastAsia="楷体_GB2312"/>
                <w:sz w:val="16"/>
                <w:szCs w:val="16"/>
              </w:rPr>
            </w:pPr>
            <w:r>
              <w:rPr>
                <w:rFonts w:ascii="Times New Roman" w:hAnsi="Times New Roman" w:eastAsia="楷体_GB2312"/>
                <w:sz w:val="16"/>
                <w:szCs w:val="16"/>
              </w:rPr>
              <w:t>贷款笔数</w:t>
            </w:r>
          </w:p>
        </w:tc>
        <w:tc>
          <w:tcPr>
            <w:tcW w:w="16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EFA48">
            <w:pPr>
              <w:jc w:val="center"/>
              <w:rPr>
                <w:rFonts w:ascii="Times New Roman" w:hAnsi="Times New Roman" w:eastAsia="楷体_GB2312"/>
                <w:sz w:val="16"/>
                <w:szCs w:val="16"/>
              </w:rPr>
            </w:pPr>
            <w:r>
              <w:rPr>
                <w:rFonts w:ascii="Times New Roman" w:hAnsi="Times New Roman" w:eastAsia="楷体_GB2312"/>
                <w:sz w:val="16"/>
                <w:szCs w:val="16"/>
              </w:rPr>
              <w:t>贷款笔数占比</w:t>
            </w:r>
          </w:p>
        </w:tc>
      </w:tr>
      <w:tr w14:paraId="368BC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254"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46A6D4E4">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09420FF0">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466A2D40">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7256B987">
            <w:pPr>
              <w:ind w:left="105" w:leftChars="50" w:right="105" w:rightChars="50"/>
              <w:jc w:val="right"/>
              <w:rPr>
                <w:rFonts w:ascii="Times New Roman" w:hAnsi="Times New Roman" w:eastAsia="楷体_GB2312"/>
              </w:rPr>
            </w:pPr>
            <w:r>
              <w:rPr>
                <w:rFonts w:ascii="Times New Roman" w:hAnsi="Times New Roman" w:eastAsia="楷体_GB2312"/>
                <w:position w:val="-1"/>
                <w:sz w:val="16"/>
              </w:rPr>
              <w:t>0</w:t>
            </w: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0418629D">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0F04A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254"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2BD7C91C">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104B09D2">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29C47E2E">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722969B9">
            <w:pPr>
              <w:ind w:left="105" w:leftChars="50" w:right="105" w:rightChars="50"/>
              <w:jc w:val="right"/>
              <w:rPr>
                <w:rFonts w:ascii="Times New Roman" w:hAnsi="Times New Roman" w:eastAsia="楷体_GB2312"/>
              </w:rPr>
            </w:pPr>
            <w:r>
              <w:rPr>
                <w:rFonts w:ascii="Times New Roman" w:hAnsi="Times New Roman" w:eastAsia="楷体_GB2312"/>
                <w:position w:val="-1"/>
                <w:sz w:val="16"/>
              </w:rPr>
              <w:t>0</w:t>
            </w: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39C9D532">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5819B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254"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4009D1C4">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53C112B6">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30F7A709">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27CFD2B9">
            <w:pPr>
              <w:ind w:left="105" w:leftChars="50" w:right="105" w:rightChars="50"/>
              <w:jc w:val="right"/>
              <w:rPr>
                <w:rFonts w:ascii="Times New Roman" w:hAnsi="Times New Roman" w:eastAsia="楷体_GB2312"/>
              </w:rPr>
            </w:pPr>
            <w:r>
              <w:rPr>
                <w:rFonts w:ascii="Times New Roman" w:hAnsi="Times New Roman" w:eastAsia="楷体_GB2312"/>
                <w:position w:val="-1"/>
                <w:sz w:val="16"/>
              </w:rPr>
              <w:t>0</w:t>
            </w: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6AD3BD80">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4826E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254"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6E86D366">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4568E757">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647FD509">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171CB1B5">
            <w:pPr>
              <w:ind w:left="105" w:leftChars="50" w:right="105" w:rightChars="50"/>
              <w:jc w:val="right"/>
              <w:rPr>
                <w:rFonts w:ascii="Times New Roman" w:hAnsi="Times New Roman" w:eastAsia="楷体_GB2312"/>
              </w:rPr>
            </w:pPr>
            <w:r>
              <w:rPr>
                <w:rFonts w:ascii="Times New Roman" w:hAnsi="Times New Roman" w:eastAsia="楷体_GB2312"/>
                <w:position w:val="-1"/>
                <w:sz w:val="16"/>
              </w:rPr>
              <w:t>0</w:t>
            </w: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42DA34C3">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0D0E1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254"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1745C03E">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69ECCC4F">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3C66DEF9">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5184BBFD">
            <w:pPr>
              <w:ind w:left="105" w:leftChars="50" w:right="105" w:rightChars="50"/>
              <w:jc w:val="right"/>
              <w:rPr>
                <w:rFonts w:ascii="Times New Roman" w:hAnsi="Times New Roman" w:eastAsia="楷体_GB2312"/>
              </w:rPr>
            </w:pPr>
            <w:r>
              <w:rPr>
                <w:rFonts w:ascii="Times New Roman" w:hAnsi="Times New Roman" w:eastAsia="楷体_GB2312"/>
                <w:position w:val="-1"/>
                <w:sz w:val="16"/>
              </w:rPr>
              <w:t>0</w:t>
            </w: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6C2CC853">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2DD18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254"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715BC648">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68D2B37C">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763C9BA6">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0E2C15F6">
            <w:pPr>
              <w:ind w:left="105" w:leftChars="50" w:right="105" w:rightChars="50"/>
              <w:jc w:val="right"/>
              <w:rPr>
                <w:rFonts w:ascii="Times New Roman" w:hAnsi="Times New Roman" w:eastAsia="楷体_GB2312"/>
              </w:rPr>
            </w:pPr>
            <w:r>
              <w:rPr>
                <w:rFonts w:ascii="Times New Roman" w:hAnsi="Times New Roman" w:eastAsia="楷体_GB2312"/>
                <w:position w:val="-1"/>
                <w:sz w:val="16"/>
              </w:rPr>
              <w:t>0</w:t>
            </w: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4C532C26">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047D9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254"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5A33B7C7">
            <w:pPr>
              <w:jc w:val="center"/>
              <w:rPr>
                <w:rFonts w:ascii="Times New Roman" w:hAnsi="Times New Roman" w:eastAsia="楷体_GB2312"/>
              </w:rPr>
            </w:pPr>
            <w:r>
              <w:rPr>
                <w:rFonts w:ascii="Times New Roman" w:hAnsi="Times New Roman" w:eastAsia="楷体_GB2312"/>
                <w:position w:val="-1"/>
                <w:sz w:val="16"/>
              </w:rPr>
              <w:t>合计</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0D1E2569">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588DF7FF">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596FDD15">
            <w:pPr>
              <w:ind w:left="105" w:leftChars="50" w:right="105" w:rightChars="50"/>
              <w:jc w:val="right"/>
              <w:rPr>
                <w:rFonts w:ascii="Times New Roman" w:hAnsi="Times New Roman" w:eastAsia="楷体_GB2312"/>
              </w:rPr>
            </w:pPr>
            <w:r>
              <w:rPr>
                <w:rFonts w:ascii="Times New Roman" w:hAnsi="Times New Roman" w:eastAsia="楷体_GB2312"/>
                <w:position w:val="-1"/>
                <w:sz w:val="16"/>
              </w:rPr>
              <w:t>0</w:t>
            </w: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33815A9A">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515D3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320" w:hRule="atLeast"/>
        </w:trPr>
        <w:tc>
          <w:tcPr>
            <w:tcW w:w="878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EF24A2">
            <w:pPr>
              <w:textAlignment w:val="center"/>
              <w:rPr>
                <w:rFonts w:ascii="Times New Roman" w:hAnsi="Times New Roman" w:eastAsia="楷体_GB2312"/>
                <w:sz w:val="16"/>
                <w:szCs w:val="16"/>
              </w:rPr>
            </w:pPr>
            <w:r>
              <w:rPr>
                <w:rFonts w:ascii="Times New Roman" w:hAnsi="Times New Roman" w:eastAsia="楷体_GB2312"/>
                <w:sz w:val="16"/>
                <w:szCs w:val="16"/>
              </w:rPr>
              <w:t>6.1.2 贷款质量（五级分类）分布</w:t>
            </w:r>
          </w:p>
        </w:tc>
      </w:tr>
      <w:tr w14:paraId="12448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298"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1457F8">
            <w:pPr>
              <w:jc w:val="center"/>
              <w:rPr>
                <w:rFonts w:ascii="Times New Roman" w:hAnsi="Times New Roman" w:eastAsia="楷体_GB2312"/>
                <w:sz w:val="16"/>
                <w:szCs w:val="16"/>
              </w:rPr>
            </w:pPr>
            <w:r>
              <w:rPr>
                <w:rFonts w:ascii="Times New Roman" w:hAnsi="Times New Roman" w:eastAsia="楷体_GB2312"/>
                <w:sz w:val="16"/>
                <w:szCs w:val="16"/>
              </w:rPr>
              <w:t>五级分类</w:t>
            </w:r>
          </w:p>
        </w:tc>
        <w:tc>
          <w:tcPr>
            <w:tcW w:w="15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F6B75">
            <w:pPr>
              <w:jc w:val="center"/>
              <w:rPr>
                <w:rFonts w:ascii="Times New Roman" w:hAnsi="Times New Roman" w:eastAsia="楷体_GB2312"/>
                <w:sz w:val="16"/>
                <w:szCs w:val="16"/>
              </w:rPr>
            </w:pPr>
            <w:r>
              <w:rPr>
                <w:rFonts w:ascii="Times New Roman" w:hAnsi="Times New Roman" w:eastAsia="楷体_GB2312"/>
                <w:sz w:val="16"/>
                <w:szCs w:val="16"/>
              </w:rPr>
              <w:t>本金余额（万元）</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A4158">
            <w:pPr>
              <w:jc w:val="center"/>
              <w:rPr>
                <w:rFonts w:ascii="Times New Roman" w:hAnsi="Times New Roman" w:eastAsia="楷体_GB2312"/>
                <w:sz w:val="16"/>
                <w:szCs w:val="16"/>
              </w:rPr>
            </w:pPr>
            <w:r>
              <w:rPr>
                <w:rFonts w:ascii="Times New Roman" w:hAnsi="Times New Roman" w:eastAsia="楷体_GB2312"/>
                <w:sz w:val="16"/>
                <w:szCs w:val="16"/>
              </w:rPr>
              <w:t>本金余额占比</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9AC47">
            <w:pPr>
              <w:jc w:val="center"/>
              <w:rPr>
                <w:rFonts w:ascii="Times New Roman" w:hAnsi="Times New Roman" w:eastAsia="楷体_GB2312"/>
                <w:sz w:val="16"/>
                <w:szCs w:val="16"/>
              </w:rPr>
            </w:pPr>
            <w:r>
              <w:rPr>
                <w:rFonts w:ascii="Times New Roman" w:hAnsi="Times New Roman" w:eastAsia="楷体_GB2312"/>
                <w:sz w:val="16"/>
                <w:szCs w:val="16"/>
              </w:rPr>
              <w:t>贷款笔数</w:t>
            </w:r>
          </w:p>
        </w:tc>
        <w:tc>
          <w:tcPr>
            <w:tcW w:w="16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12FB6F">
            <w:pPr>
              <w:jc w:val="center"/>
              <w:rPr>
                <w:rFonts w:ascii="Times New Roman" w:hAnsi="Times New Roman" w:eastAsia="楷体_GB2312"/>
                <w:sz w:val="16"/>
                <w:szCs w:val="16"/>
              </w:rPr>
            </w:pPr>
            <w:r>
              <w:rPr>
                <w:rFonts w:ascii="Times New Roman" w:hAnsi="Times New Roman" w:eastAsia="楷体_GB2312"/>
                <w:sz w:val="16"/>
                <w:szCs w:val="16"/>
              </w:rPr>
              <w:t>贷款笔数占比</w:t>
            </w:r>
          </w:p>
        </w:tc>
      </w:tr>
      <w:tr w14:paraId="09FFD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232"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6A7F1471">
            <w:pPr>
              <w:jc w:val="center"/>
              <w:rPr>
                <w:rFonts w:ascii="Times New Roman" w:hAnsi="Times New Roman" w:eastAsia="楷体_GB2312"/>
              </w:rPr>
            </w:pPr>
            <w:r>
              <w:rPr>
                <w:rFonts w:ascii="Times New Roman" w:hAnsi="Times New Roman" w:eastAsia="楷体_GB2312"/>
                <w:position w:val="-1"/>
                <w:sz w:val="16"/>
              </w:rPr>
              <w:t>【】</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284030A2">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41967AD0">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44F24DBC">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1E9D0CC6">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5931D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232"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37A1FE75">
            <w:pPr>
              <w:jc w:val="center"/>
              <w:rPr>
                <w:rFonts w:ascii="Times New Roman" w:hAnsi="Times New Roman" w:eastAsia="楷体_GB2312"/>
                <w:position w:val="-1"/>
                <w:sz w:val="16"/>
              </w:rPr>
            </w:pPr>
            <w:r>
              <w:rPr>
                <w:rFonts w:ascii="Times New Roman" w:hAnsi="Times New Roman" w:eastAsia="楷体_GB2312"/>
                <w:position w:val="-1"/>
                <w:sz w:val="16"/>
              </w:rPr>
              <w:t>【】</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5CAB9430">
            <w:pPr>
              <w:ind w:left="105" w:leftChars="50" w:right="105" w:rightChars="50"/>
              <w:jc w:val="right"/>
              <w:rPr>
                <w:rFonts w:ascii="Times New Roman" w:hAnsi="Times New Roman" w:eastAsia="楷体_GB2312"/>
                <w:position w:val="-1"/>
                <w:sz w:val="16"/>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3D60CC6E">
            <w:pPr>
              <w:ind w:left="105" w:leftChars="50" w:right="105" w:rightChars="50"/>
              <w:jc w:val="right"/>
              <w:rPr>
                <w:rFonts w:ascii="Times New Roman" w:hAnsi="Times New Roman" w:eastAsia="楷体_GB2312"/>
                <w:position w:val="-1"/>
                <w:sz w:val="16"/>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458F6D61">
            <w:pPr>
              <w:ind w:left="105" w:leftChars="50" w:right="105" w:rightChars="50"/>
              <w:jc w:val="right"/>
              <w:rPr>
                <w:rFonts w:ascii="Times New Roman" w:hAnsi="Times New Roman" w:eastAsia="楷体_GB2312"/>
                <w:position w:val="-1"/>
                <w:sz w:val="16"/>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2A63FEC7">
            <w:pPr>
              <w:ind w:left="105" w:leftChars="50" w:right="105" w:rightChars="50"/>
              <w:jc w:val="right"/>
              <w:rPr>
                <w:rFonts w:ascii="Times New Roman" w:hAnsi="Times New Roman" w:eastAsia="楷体_GB2312"/>
                <w:position w:val="-1"/>
                <w:sz w:val="16"/>
              </w:rPr>
            </w:pPr>
            <w:r>
              <w:rPr>
                <w:rFonts w:ascii="Times New Roman" w:hAnsi="Times New Roman" w:eastAsia="楷体_GB2312"/>
                <w:color w:val="000000"/>
                <w:sz w:val="18"/>
                <w:szCs w:val="18"/>
              </w:rPr>
              <w:t>%</w:t>
            </w:r>
          </w:p>
        </w:tc>
      </w:tr>
      <w:tr w14:paraId="6968C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232"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684320A4">
            <w:pPr>
              <w:jc w:val="center"/>
              <w:rPr>
                <w:rFonts w:ascii="Times New Roman" w:hAnsi="Times New Roman" w:eastAsia="楷体_GB2312"/>
              </w:rPr>
            </w:pPr>
            <w:r>
              <w:rPr>
                <w:rFonts w:ascii="Times New Roman" w:hAnsi="Times New Roman" w:eastAsia="楷体_GB2312"/>
                <w:position w:val="-1"/>
                <w:sz w:val="16"/>
              </w:rPr>
              <w:t>合计</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72480F4A">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517F704F">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21046C3B">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41B8CBA1">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2801E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114" w:hRule="atLeast"/>
        </w:trPr>
        <w:tc>
          <w:tcPr>
            <w:tcW w:w="878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EDCDED">
            <w:pPr>
              <w:textAlignment w:val="center"/>
              <w:rPr>
                <w:rFonts w:ascii="Times New Roman" w:hAnsi="Times New Roman" w:eastAsia="楷体_GB2312"/>
                <w:sz w:val="16"/>
                <w:szCs w:val="16"/>
              </w:rPr>
            </w:pPr>
            <w:r>
              <w:rPr>
                <w:rFonts w:ascii="Times New Roman" w:hAnsi="Times New Roman" w:eastAsia="楷体_GB2312"/>
                <w:sz w:val="16"/>
                <w:szCs w:val="16"/>
              </w:rPr>
              <w:t>6.1.3 贷款利率类型分布</w:t>
            </w:r>
          </w:p>
        </w:tc>
      </w:tr>
      <w:tr w14:paraId="3950C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19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6B723D">
            <w:pPr>
              <w:jc w:val="center"/>
              <w:rPr>
                <w:rFonts w:ascii="Times New Roman" w:hAnsi="Times New Roman" w:eastAsia="楷体_GB2312"/>
                <w:sz w:val="16"/>
                <w:szCs w:val="16"/>
              </w:rPr>
            </w:pPr>
            <w:r>
              <w:rPr>
                <w:rFonts w:ascii="Times New Roman" w:hAnsi="Times New Roman" w:eastAsia="楷体_GB2312"/>
                <w:sz w:val="16"/>
                <w:szCs w:val="16"/>
              </w:rPr>
              <w:t>贷款利率类型</w:t>
            </w:r>
          </w:p>
        </w:tc>
        <w:tc>
          <w:tcPr>
            <w:tcW w:w="15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8DB1">
            <w:pPr>
              <w:jc w:val="center"/>
              <w:rPr>
                <w:rFonts w:ascii="Times New Roman" w:hAnsi="Times New Roman" w:eastAsia="楷体_GB2312"/>
                <w:sz w:val="16"/>
                <w:szCs w:val="16"/>
              </w:rPr>
            </w:pPr>
            <w:r>
              <w:rPr>
                <w:rFonts w:ascii="Times New Roman" w:hAnsi="Times New Roman" w:eastAsia="楷体_GB2312"/>
                <w:sz w:val="16"/>
                <w:szCs w:val="16"/>
              </w:rPr>
              <w:t>本金余额（万元）</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A78C5">
            <w:pPr>
              <w:jc w:val="center"/>
              <w:rPr>
                <w:rFonts w:ascii="Times New Roman" w:hAnsi="Times New Roman" w:eastAsia="楷体_GB2312"/>
                <w:sz w:val="16"/>
                <w:szCs w:val="16"/>
              </w:rPr>
            </w:pPr>
            <w:r>
              <w:rPr>
                <w:rFonts w:ascii="Times New Roman" w:hAnsi="Times New Roman" w:eastAsia="楷体_GB2312"/>
                <w:sz w:val="16"/>
                <w:szCs w:val="16"/>
              </w:rPr>
              <w:t>本金余额占比</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8039F">
            <w:pPr>
              <w:jc w:val="center"/>
              <w:rPr>
                <w:rFonts w:ascii="Times New Roman" w:hAnsi="Times New Roman" w:eastAsia="楷体_GB2312"/>
                <w:sz w:val="16"/>
                <w:szCs w:val="16"/>
              </w:rPr>
            </w:pPr>
            <w:r>
              <w:rPr>
                <w:rFonts w:ascii="Times New Roman" w:hAnsi="Times New Roman" w:eastAsia="楷体_GB2312"/>
                <w:sz w:val="16"/>
                <w:szCs w:val="16"/>
              </w:rPr>
              <w:t>贷款笔数</w:t>
            </w:r>
          </w:p>
        </w:tc>
        <w:tc>
          <w:tcPr>
            <w:tcW w:w="16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FAD85">
            <w:pPr>
              <w:jc w:val="center"/>
              <w:rPr>
                <w:rFonts w:ascii="Times New Roman" w:hAnsi="Times New Roman" w:eastAsia="楷体_GB2312"/>
                <w:sz w:val="16"/>
                <w:szCs w:val="16"/>
              </w:rPr>
            </w:pPr>
            <w:r>
              <w:rPr>
                <w:rFonts w:ascii="Times New Roman" w:hAnsi="Times New Roman" w:eastAsia="楷体_GB2312"/>
                <w:sz w:val="16"/>
                <w:szCs w:val="16"/>
              </w:rPr>
              <w:t>贷款笔数占比</w:t>
            </w:r>
          </w:p>
        </w:tc>
      </w:tr>
      <w:tr w14:paraId="2A274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6A1A359C">
            <w:pPr>
              <w:jc w:val="center"/>
              <w:rPr>
                <w:rFonts w:ascii="Times New Roman" w:hAnsi="Times New Roman" w:eastAsia="楷体_GB2312"/>
              </w:rPr>
            </w:pPr>
            <w:r>
              <w:rPr>
                <w:rFonts w:ascii="Times New Roman" w:hAnsi="Times New Roman" w:eastAsia="楷体_GB2312"/>
                <w:position w:val="-1"/>
                <w:sz w:val="16"/>
              </w:rPr>
              <w:t>【固定】</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0A87A3E7">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10A77C8F">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046230CD">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45F6DA73">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3A9D1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40D65FDB">
            <w:pPr>
              <w:jc w:val="center"/>
              <w:rPr>
                <w:rFonts w:ascii="Times New Roman" w:hAnsi="Times New Roman" w:eastAsia="楷体_GB2312"/>
                <w:position w:val="-1"/>
                <w:sz w:val="16"/>
              </w:rPr>
            </w:pPr>
            <w:r>
              <w:rPr>
                <w:rFonts w:ascii="Times New Roman" w:hAnsi="Times New Roman" w:eastAsia="楷体_GB2312"/>
                <w:position w:val="-1"/>
                <w:sz w:val="16"/>
              </w:rPr>
              <w:t>【】</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7B281B4A">
            <w:pPr>
              <w:ind w:left="105" w:leftChars="50" w:right="105" w:rightChars="50"/>
              <w:jc w:val="right"/>
              <w:rPr>
                <w:rFonts w:ascii="Times New Roman" w:hAnsi="Times New Roman" w:eastAsia="楷体_GB2312"/>
                <w:position w:val="-1"/>
                <w:sz w:val="16"/>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4CABD1B4">
            <w:pPr>
              <w:ind w:left="105" w:leftChars="50" w:right="105" w:rightChars="50"/>
              <w:jc w:val="right"/>
              <w:rPr>
                <w:rFonts w:ascii="Times New Roman" w:hAnsi="Times New Roman" w:eastAsia="楷体_GB2312"/>
                <w:position w:val="-1"/>
                <w:sz w:val="16"/>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7698CEEA">
            <w:pPr>
              <w:ind w:left="105" w:leftChars="50" w:right="105" w:rightChars="50"/>
              <w:jc w:val="right"/>
              <w:rPr>
                <w:rFonts w:ascii="Times New Roman" w:hAnsi="Times New Roman" w:eastAsia="楷体_GB2312"/>
                <w:position w:val="-1"/>
                <w:sz w:val="16"/>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5F46CFC2">
            <w:pPr>
              <w:ind w:left="105" w:leftChars="50" w:right="105" w:rightChars="50"/>
              <w:jc w:val="right"/>
              <w:rPr>
                <w:rFonts w:ascii="Times New Roman" w:hAnsi="Times New Roman" w:eastAsia="楷体_GB2312"/>
                <w:position w:val="-1"/>
                <w:sz w:val="16"/>
              </w:rPr>
            </w:pPr>
            <w:r>
              <w:rPr>
                <w:rFonts w:ascii="Times New Roman" w:hAnsi="Times New Roman" w:eastAsia="楷体_GB2312"/>
                <w:color w:val="000000"/>
                <w:sz w:val="18"/>
                <w:szCs w:val="18"/>
              </w:rPr>
              <w:t>%</w:t>
            </w:r>
          </w:p>
        </w:tc>
      </w:tr>
      <w:tr w14:paraId="7D1CC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386B3C3D">
            <w:pPr>
              <w:jc w:val="center"/>
              <w:rPr>
                <w:rFonts w:ascii="Times New Roman" w:hAnsi="Times New Roman" w:eastAsia="楷体_GB2312"/>
              </w:rPr>
            </w:pPr>
            <w:r>
              <w:rPr>
                <w:rFonts w:ascii="Times New Roman" w:hAnsi="Times New Roman" w:eastAsia="楷体_GB2312"/>
                <w:position w:val="-1"/>
                <w:sz w:val="16"/>
              </w:rPr>
              <w:t>合计</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04F2B3F9">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6DEF19B1">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08B98B06">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51171210">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07206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132" w:hRule="atLeast"/>
        </w:trPr>
        <w:tc>
          <w:tcPr>
            <w:tcW w:w="878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4E8A67">
            <w:pPr>
              <w:textAlignment w:val="center"/>
              <w:rPr>
                <w:rFonts w:ascii="Times New Roman" w:hAnsi="Times New Roman" w:eastAsia="楷体_GB2312"/>
                <w:sz w:val="16"/>
                <w:szCs w:val="16"/>
              </w:rPr>
            </w:pPr>
            <w:r>
              <w:rPr>
                <w:rFonts w:ascii="Times New Roman" w:hAnsi="Times New Roman" w:eastAsia="楷体_GB2312"/>
                <w:sz w:val="16"/>
                <w:szCs w:val="16"/>
              </w:rPr>
              <w:t>6.1.4 贷款利率分布</w:t>
            </w:r>
          </w:p>
        </w:tc>
      </w:tr>
      <w:tr w14:paraId="01DCD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439"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D3DF42">
            <w:pPr>
              <w:jc w:val="center"/>
              <w:textAlignment w:val="center"/>
              <w:rPr>
                <w:rFonts w:ascii="Times New Roman" w:hAnsi="Times New Roman" w:eastAsia="楷体_GB2312"/>
                <w:sz w:val="16"/>
                <w:szCs w:val="16"/>
              </w:rPr>
            </w:pPr>
            <w:r>
              <w:rPr>
                <w:rFonts w:ascii="Times New Roman" w:hAnsi="Times New Roman" w:eastAsia="楷体_GB2312"/>
                <w:sz w:val="16"/>
                <w:szCs w:val="16"/>
              </w:rPr>
              <w:t>贷款利率(%)</w:t>
            </w:r>
          </w:p>
        </w:tc>
        <w:tc>
          <w:tcPr>
            <w:tcW w:w="15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892A9">
            <w:pPr>
              <w:jc w:val="center"/>
              <w:rPr>
                <w:rFonts w:ascii="Times New Roman" w:hAnsi="Times New Roman" w:eastAsia="楷体_GB2312"/>
                <w:sz w:val="16"/>
                <w:szCs w:val="16"/>
              </w:rPr>
            </w:pPr>
            <w:r>
              <w:rPr>
                <w:rFonts w:ascii="Times New Roman" w:hAnsi="Times New Roman" w:eastAsia="楷体_GB2312"/>
                <w:sz w:val="16"/>
                <w:szCs w:val="16"/>
              </w:rPr>
              <w:t>本金余额（万元）</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F3344">
            <w:pPr>
              <w:jc w:val="center"/>
              <w:rPr>
                <w:rFonts w:ascii="Times New Roman" w:hAnsi="Times New Roman" w:eastAsia="楷体_GB2312"/>
                <w:sz w:val="16"/>
                <w:szCs w:val="16"/>
              </w:rPr>
            </w:pPr>
            <w:r>
              <w:rPr>
                <w:rFonts w:ascii="Times New Roman" w:hAnsi="Times New Roman" w:eastAsia="楷体_GB2312"/>
                <w:sz w:val="16"/>
                <w:szCs w:val="16"/>
              </w:rPr>
              <w:t>本金余额占比</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E7CCA">
            <w:pPr>
              <w:jc w:val="center"/>
              <w:rPr>
                <w:rFonts w:ascii="Times New Roman" w:hAnsi="Times New Roman" w:eastAsia="楷体_GB2312"/>
                <w:sz w:val="16"/>
                <w:szCs w:val="16"/>
              </w:rPr>
            </w:pPr>
            <w:r>
              <w:rPr>
                <w:rFonts w:ascii="Times New Roman" w:hAnsi="Times New Roman" w:eastAsia="楷体_GB2312"/>
                <w:sz w:val="16"/>
                <w:szCs w:val="16"/>
              </w:rPr>
              <w:t>贷款笔数</w:t>
            </w:r>
          </w:p>
        </w:tc>
        <w:tc>
          <w:tcPr>
            <w:tcW w:w="16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616FE">
            <w:pPr>
              <w:jc w:val="center"/>
              <w:rPr>
                <w:rFonts w:ascii="Times New Roman" w:hAnsi="Times New Roman" w:eastAsia="楷体_GB2312"/>
                <w:sz w:val="16"/>
                <w:szCs w:val="16"/>
              </w:rPr>
            </w:pPr>
            <w:r>
              <w:rPr>
                <w:rFonts w:ascii="Times New Roman" w:hAnsi="Times New Roman" w:eastAsia="楷体_GB2312"/>
                <w:sz w:val="16"/>
                <w:szCs w:val="16"/>
              </w:rPr>
              <w:t>贷款笔数占比</w:t>
            </w:r>
          </w:p>
        </w:tc>
      </w:tr>
      <w:tr w14:paraId="02F6F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156"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1148E327">
            <w:pPr>
              <w:jc w:val="center"/>
              <w:textAlignment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343F04F8">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70AE789B">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7055BC54">
            <w:pPr>
              <w:ind w:left="105" w:leftChars="50" w:right="105" w:rightChars="50"/>
              <w:jc w:val="right"/>
              <w:rPr>
                <w:rFonts w:ascii="Times New Roman" w:hAnsi="Times New Roman" w:eastAsia="楷体_GB2312"/>
              </w:rPr>
            </w:pPr>
            <w:r>
              <w:rPr>
                <w:rFonts w:ascii="Times New Roman" w:hAnsi="Times New Roman" w:eastAsia="楷体_GB2312"/>
                <w:position w:val="-1"/>
                <w:sz w:val="16"/>
              </w:rPr>
              <w:t>0</w:t>
            </w: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2426E39E">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07B30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156"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58563DE6">
            <w:pPr>
              <w:jc w:val="center"/>
              <w:textAlignment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7F919584">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0F21EE8E">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23C96BF8">
            <w:pPr>
              <w:ind w:left="105" w:leftChars="50" w:right="105" w:rightChars="50"/>
              <w:jc w:val="right"/>
              <w:rPr>
                <w:rFonts w:ascii="Times New Roman" w:hAnsi="Times New Roman" w:eastAsia="楷体_GB2312"/>
              </w:rPr>
            </w:pPr>
            <w:r>
              <w:rPr>
                <w:rFonts w:ascii="Times New Roman" w:hAnsi="Times New Roman" w:eastAsia="楷体_GB2312"/>
                <w:position w:val="-1"/>
                <w:sz w:val="16"/>
              </w:rPr>
              <w:t>0</w:t>
            </w: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013FCD48">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6B66F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156"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795BA31F">
            <w:pPr>
              <w:jc w:val="center"/>
              <w:textAlignment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4B8DE32B">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1D50D771">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4165D654">
            <w:pPr>
              <w:ind w:left="105" w:leftChars="50" w:right="105" w:rightChars="50"/>
              <w:jc w:val="right"/>
              <w:rPr>
                <w:rFonts w:ascii="Times New Roman" w:hAnsi="Times New Roman" w:eastAsia="楷体_GB2312"/>
              </w:rPr>
            </w:pPr>
            <w:r>
              <w:rPr>
                <w:rFonts w:ascii="Times New Roman" w:hAnsi="Times New Roman" w:eastAsia="楷体_GB2312"/>
                <w:position w:val="-1"/>
                <w:sz w:val="16"/>
              </w:rPr>
              <w:t>0</w:t>
            </w: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7ADC2AE8">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2A9DD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156"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672C1A5A">
            <w:pPr>
              <w:jc w:val="center"/>
              <w:textAlignment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21FBD221">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54B8F0E3">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55FE1772">
            <w:pPr>
              <w:ind w:left="105" w:leftChars="50" w:right="105" w:rightChars="50"/>
              <w:jc w:val="right"/>
              <w:rPr>
                <w:rFonts w:ascii="Times New Roman" w:hAnsi="Times New Roman" w:eastAsia="楷体_GB2312"/>
              </w:rPr>
            </w:pPr>
            <w:r>
              <w:rPr>
                <w:rFonts w:ascii="Times New Roman" w:hAnsi="Times New Roman" w:eastAsia="楷体_GB2312"/>
                <w:position w:val="-1"/>
                <w:sz w:val="16"/>
              </w:rPr>
              <w:t>0</w:t>
            </w: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0FD6483C">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66471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156"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03F8ABDD">
            <w:pPr>
              <w:jc w:val="center"/>
              <w:textAlignment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75E60164">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13D05DCE">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3BAB60B5">
            <w:pPr>
              <w:ind w:left="105" w:leftChars="50" w:right="105" w:rightChars="50"/>
              <w:jc w:val="right"/>
              <w:rPr>
                <w:rFonts w:ascii="Times New Roman" w:hAnsi="Times New Roman" w:eastAsia="楷体_GB2312"/>
              </w:rPr>
            </w:pPr>
            <w:r>
              <w:rPr>
                <w:rFonts w:ascii="Times New Roman" w:hAnsi="Times New Roman" w:eastAsia="楷体_GB2312"/>
                <w:position w:val="-1"/>
                <w:sz w:val="16"/>
              </w:rPr>
              <w:t>0</w:t>
            </w: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38A9D46C">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52CB5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156"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504312C3">
            <w:pPr>
              <w:jc w:val="center"/>
              <w:textAlignment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38339D94">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2F310F55">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0825FE2F">
            <w:pPr>
              <w:ind w:left="105" w:leftChars="50" w:right="105" w:rightChars="50"/>
              <w:jc w:val="right"/>
              <w:rPr>
                <w:rFonts w:ascii="Times New Roman" w:hAnsi="Times New Roman" w:eastAsia="楷体_GB2312"/>
              </w:rPr>
            </w:pPr>
            <w:r>
              <w:rPr>
                <w:rFonts w:ascii="Times New Roman" w:hAnsi="Times New Roman" w:eastAsia="楷体_GB2312"/>
                <w:position w:val="-1"/>
                <w:sz w:val="16"/>
              </w:rPr>
              <w:t>0</w:t>
            </w: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3494FD6F">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273FE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156"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5D42ECF7">
            <w:pPr>
              <w:jc w:val="center"/>
              <w:textAlignment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6B89B717">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1D41D4C2">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018BE36F">
            <w:pPr>
              <w:ind w:left="105" w:leftChars="50" w:right="105" w:rightChars="50"/>
              <w:jc w:val="right"/>
              <w:rPr>
                <w:rFonts w:ascii="Times New Roman" w:hAnsi="Times New Roman" w:eastAsia="楷体_GB2312"/>
              </w:rPr>
            </w:pPr>
            <w:r>
              <w:rPr>
                <w:rFonts w:ascii="Times New Roman" w:hAnsi="Times New Roman" w:eastAsia="楷体_GB2312"/>
                <w:position w:val="-1"/>
                <w:sz w:val="16"/>
              </w:rPr>
              <w:t>0</w:t>
            </w: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6EA0BB57">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4C7A5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156"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59255DEB">
            <w:pPr>
              <w:jc w:val="center"/>
              <w:textAlignment w:val="center"/>
              <w:rPr>
                <w:rFonts w:ascii="Times New Roman" w:hAnsi="Times New Roman" w:eastAsia="楷体_GB2312"/>
              </w:rPr>
            </w:pPr>
            <w:r>
              <w:rPr>
                <w:rFonts w:ascii="Times New Roman" w:hAnsi="Times New Roman" w:eastAsia="楷体_GB2312"/>
                <w:position w:val="-1"/>
                <w:sz w:val="16"/>
              </w:rPr>
              <w:t>合计</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0990F051">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18601524">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3917C505">
            <w:pPr>
              <w:ind w:left="105" w:leftChars="50" w:right="105" w:rightChars="50"/>
              <w:jc w:val="right"/>
              <w:rPr>
                <w:rFonts w:ascii="Times New Roman" w:hAnsi="Times New Roman" w:eastAsia="楷体_GB2312"/>
              </w:rPr>
            </w:pPr>
            <w:r>
              <w:rPr>
                <w:rFonts w:ascii="Times New Roman" w:hAnsi="Times New Roman" w:eastAsia="楷体_GB2312"/>
                <w:position w:val="-1"/>
                <w:sz w:val="16"/>
              </w:rPr>
              <w:t>0</w:t>
            </w: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5FEE1A78">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073BA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242" w:hRule="atLeast"/>
        </w:trPr>
        <w:tc>
          <w:tcPr>
            <w:tcW w:w="878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40BA66">
            <w:pPr>
              <w:textAlignment w:val="center"/>
              <w:rPr>
                <w:rFonts w:ascii="Times New Roman" w:hAnsi="Times New Roman" w:eastAsia="楷体_GB2312"/>
                <w:sz w:val="16"/>
                <w:szCs w:val="16"/>
              </w:rPr>
            </w:pPr>
            <w:r>
              <w:rPr>
                <w:rFonts w:ascii="Times New Roman" w:hAnsi="Times New Roman" w:eastAsia="楷体_GB2312"/>
                <w:sz w:val="16"/>
                <w:szCs w:val="16"/>
              </w:rPr>
              <w:t>6.1.5 担保情况分布</w:t>
            </w:r>
          </w:p>
        </w:tc>
      </w:tr>
      <w:tr w14:paraId="68806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390227">
            <w:pPr>
              <w:jc w:val="center"/>
              <w:textAlignment w:val="center"/>
              <w:rPr>
                <w:rFonts w:ascii="Times New Roman" w:hAnsi="Times New Roman" w:eastAsia="楷体_GB2312"/>
                <w:sz w:val="16"/>
                <w:szCs w:val="16"/>
              </w:rPr>
            </w:pPr>
            <w:r>
              <w:rPr>
                <w:rFonts w:ascii="Times New Roman" w:hAnsi="Times New Roman" w:eastAsia="楷体_GB2312"/>
                <w:sz w:val="16"/>
                <w:szCs w:val="16"/>
              </w:rPr>
              <w:t>担保情况</w:t>
            </w:r>
          </w:p>
        </w:tc>
        <w:tc>
          <w:tcPr>
            <w:tcW w:w="15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45EBF">
            <w:pPr>
              <w:jc w:val="center"/>
              <w:rPr>
                <w:rFonts w:ascii="Times New Roman" w:hAnsi="Times New Roman" w:eastAsia="楷体_GB2312"/>
                <w:sz w:val="16"/>
                <w:szCs w:val="16"/>
              </w:rPr>
            </w:pPr>
            <w:r>
              <w:rPr>
                <w:rFonts w:ascii="Times New Roman" w:hAnsi="Times New Roman" w:eastAsia="楷体_GB2312"/>
                <w:sz w:val="16"/>
                <w:szCs w:val="16"/>
              </w:rPr>
              <w:t>本金余额（万元）</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3914A">
            <w:pPr>
              <w:jc w:val="center"/>
              <w:rPr>
                <w:rFonts w:ascii="Times New Roman" w:hAnsi="Times New Roman" w:eastAsia="楷体_GB2312"/>
                <w:sz w:val="16"/>
                <w:szCs w:val="16"/>
              </w:rPr>
            </w:pPr>
            <w:r>
              <w:rPr>
                <w:rFonts w:ascii="Times New Roman" w:hAnsi="Times New Roman" w:eastAsia="楷体_GB2312"/>
                <w:sz w:val="16"/>
                <w:szCs w:val="16"/>
              </w:rPr>
              <w:t>本金余额占比</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99DCD">
            <w:pPr>
              <w:jc w:val="center"/>
              <w:rPr>
                <w:rFonts w:ascii="Times New Roman" w:hAnsi="Times New Roman" w:eastAsia="楷体_GB2312"/>
                <w:sz w:val="16"/>
                <w:szCs w:val="16"/>
              </w:rPr>
            </w:pPr>
            <w:r>
              <w:rPr>
                <w:rFonts w:ascii="Times New Roman" w:hAnsi="Times New Roman" w:eastAsia="楷体_GB2312"/>
                <w:sz w:val="16"/>
                <w:szCs w:val="16"/>
              </w:rPr>
              <w:t>贷款笔数</w:t>
            </w:r>
          </w:p>
        </w:tc>
        <w:tc>
          <w:tcPr>
            <w:tcW w:w="16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773C0">
            <w:pPr>
              <w:jc w:val="center"/>
              <w:rPr>
                <w:rFonts w:ascii="Times New Roman" w:hAnsi="Times New Roman" w:eastAsia="楷体_GB2312"/>
                <w:sz w:val="16"/>
                <w:szCs w:val="16"/>
              </w:rPr>
            </w:pPr>
            <w:r>
              <w:rPr>
                <w:rFonts w:ascii="Times New Roman" w:hAnsi="Times New Roman" w:eastAsia="楷体_GB2312"/>
                <w:sz w:val="16"/>
                <w:szCs w:val="16"/>
              </w:rPr>
              <w:t>贷款笔数占比</w:t>
            </w:r>
          </w:p>
        </w:tc>
      </w:tr>
      <w:tr w14:paraId="0038F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3D286B">
            <w:pPr>
              <w:jc w:val="center"/>
              <w:textAlignment w:val="center"/>
              <w:rPr>
                <w:rFonts w:ascii="Times New Roman" w:hAnsi="Times New Roman" w:eastAsia="楷体_GB2312"/>
                <w:sz w:val="16"/>
                <w:szCs w:val="16"/>
              </w:rPr>
            </w:pPr>
            <w:r>
              <w:rPr>
                <w:rFonts w:ascii="Times New Roman" w:hAnsi="Times New Roman" w:eastAsia="楷体_GB2312"/>
                <w:sz w:val="16"/>
                <w:szCs w:val="16"/>
              </w:rPr>
              <w:t>信用</w:t>
            </w:r>
          </w:p>
        </w:tc>
        <w:tc>
          <w:tcPr>
            <w:tcW w:w="15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6544591A">
            <w:pPr>
              <w:jc w:val="center"/>
              <w:rPr>
                <w:rFonts w:ascii="Times New Roman" w:hAnsi="Times New Roman" w:eastAsia="楷体_GB2312"/>
                <w:sz w:val="16"/>
                <w:szCs w:val="16"/>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0A1B182F">
            <w:pPr>
              <w:ind w:right="180"/>
              <w:jc w:val="right"/>
              <w:rPr>
                <w:rFonts w:ascii="Times New Roman" w:hAnsi="Times New Roman" w:eastAsia="楷体_GB2312"/>
                <w:sz w:val="16"/>
                <w:szCs w:val="16"/>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4C7B7F77">
            <w:pPr>
              <w:ind w:right="160"/>
              <w:jc w:val="right"/>
              <w:rPr>
                <w:rFonts w:ascii="Times New Roman" w:hAnsi="Times New Roman" w:eastAsia="楷体_GB2312"/>
                <w:sz w:val="16"/>
                <w:szCs w:val="16"/>
              </w:rPr>
            </w:pPr>
            <w:r>
              <w:rPr>
                <w:rFonts w:ascii="Times New Roman" w:hAnsi="Times New Roman" w:eastAsia="楷体_GB2312"/>
                <w:position w:val="-1"/>
                <w:sz w:val="16"/>
              </w:rPr>
              <w:t>0</w:t>
            </w:r>
          </w:p>
        </w:tc>
        <w:tc>
          <w:tcPr>
            <w:tcW w:w="16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38D5E181">
            <w:pPr>
              <w:ind w:right="180"/>
              <w:jc w:val="right"/>
              <w:rPr>
                <w:rFonts w:ascii="Times New Roman" w:hAnsi="Times New Roman" w:eastAsia="楷体_GB2312"/>
                <w:sz w:val="16"/>
                <w:szCs w:val="16"/>
              </w:rPr>
            </w:pPr>
            <w:r>
              <w:rPr>
                <w:rFonts w:ascii="Times New Roman" w:hAnsi="Times New Roman" w:eastAsia="楷体_GB2312"/>
                <w:color w:val="000000"/>
                <w:sz w:val="18"/>
                <w:szCs w:val="18"/>
              </w:rPr>
              <w:t>%</w:t>
            </w:r>
          </w:p>
        </w:tc>
      </w:tr>
      <w:tr w14:paraId="4A274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23E4FC7C">
            <w:pPr>
              <w:jc w:val="center"/>
              <w:textAlignment w:val="center"/>
              <w:rPr>
                <w:rFonts w:ascii="Times New Roman" w:hAnsi="Times New Roman" w:eastAsia="楷体_GB2312"/>
                <w:sz w:val="16"/>
                <w:szCs w:val="16"/>
              </w:rPr>
            </w:pPr>
            <w:r>
              <w:rPr>
                <w:rFonts w:ascii="Times New Roman" w:hAnsi="Times New Roman" w:eastAsia="楷体_GB2312"/>
                <w:sz w:val="16"/>
                <w:szCs w:val="16"/>
              </w:rPr>
              <w:t>保证</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22B6EFBA">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5F1769CA">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20426591">
            <w:pPr>
              <w:ind w:left="105" w:leftChars="50" w:right="105" w:rightChars="50"/>
              <w:jc w:val="right"/>
              <w:rPr>
                <w:rFonts w:ascii="Times New Roman" w:hAnsi="Times New Roman" w:eastAsia="楷体_GB2312"/>
              </w:rPr>
            </w:pPr>
            <w:r>
              <w:rPr>
                <w:rFonts w:ascii="Times New Roman" w:hAnsi="Times New Roman" w:eastAsia="楷体_GB2312"/>
                <w:position w:val="-1"/>
                <w:sz w:val="16"/>
              </w:rPr>
              <w:t>0</w:t>
            </w: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2E3F36D5">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19943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5F6782F1">
            <w:pPr>
              <w:jc w:val="center"/>
              <w:textAlignment w:val="center"/>
              <w:rPr>
                <w:rFonts w:ascii="Times New Roman" w:hAnsi="Times New Roman" w:eastAsia="楷体_GB2312"/>
              </w:rPr>
            </w:pPr>
            <w:r>
              <w:rPr>
                <w:rFonts w:ascii="Times New Roman" w:hAnsi="Times New Roman" w:eastAsia="楷体_GB2312"/>
                <w:position w:val="-1"/>
                <w:sz w:val="16"/>
              </w:rPr>
              <w:t>合计</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21174F70">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164F4725">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7A69068B">
            <w:pPr>
              <w:ind w:left="105" w:leftChars="50" w:right="105" w:rightChars="50"/>
              <w:jc w:val="right"/>
              <w:rPr>
                <w:rFonts w:ascii="Times New Roman" w:hAnsi="Times New Roman" w:eastAsia="楷体_GB2312"/>
              </w:rPr>
            </w:pPr>
            <w:r>
              <w:rPr>
                <w:rFonts w:ascii="Times New Roman" w:hAnsi="Times New Roman" w:eastAsia="楷体_GB2312"/>
                <w:position w:val="-1"/>
                <w:sz w:val="16"/>
              </w:rPr>
              <w:t>0</w:t>
            </w: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2A2CF3DD">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51F38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878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43CBEF">
            <w:pPr>
              <w:textAlignment w:val="center"/>
              <w:rPr>
                <w:rFonts w:ascii="Times New Roman" w:hAnsi="Times New Roman" w:eastAsia="楷体_GB2312"/>
                <w:sz w:val="16"/>
                <w:szCs w:val="16"/>
              </w:rPr>
            </w:pPr>
            <w:r>
              <w:rPr>
                <w:rFonts w:ascii="Times New Roman" w:hAnsi="Times New Roman" w:eastAsia="楷体_GB2312"/>
                <w:sz w:val="16"/>
                <w:szCs w:val="16"/>
              </w:rPr>
              <w:t>6.1.6 还款方式分布</w:t>
            </w:r>
          </w:p>
        </w:tc>
      </w:tr>
      <w:tr w14:paraId="5B038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97"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EF44FB">
            <w:pPr>
              <w:jc w:val="center"/>
              <w:textAlignment w:val="center"/>
              <w:rPr>
                <w:rFonts w:ascii="Times New Roman" w:hAnsi="Times New Roman" w:eastAsia="楷体_GB2312"/>
                <w:sz w:val="16"/>
                <w:szCs w:val="16"/>
              </w:rPr>
            </w:pPr>
            <w:r>
              <w:rPr>
                <w:rFonts w:ascii="Times New Roman" w:hAnsi="Times New Roman" w:eastAsia="楷体_GB2312"/>
                <w:sz w:val="16"/>
                <w:szCs w:val="16"/>
              </w:rPr>
              <w:t>还款方式</w:t>
            </w:r>
          </w:p>
        </w:tc>
        <w:tc>
          <w:tcPr>
            <w:tcW w:w="15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6009D">
            <w:pPr>
              <w:jc w:val="center"/>
              <w:rPr>
                <w:rFonts w:ascii="Times New Roman" w:hAnsi="Times New Roman" w:eastAsia="楷体_GB2312"/>
                <w:sz w:val="16"/>
                <w:szCs w:val="16"/>
              </w:rPr>
            </w:pPr>
            <w:r>
              <w:rPr>
                <w:rFonts w:ascii="Times New Roman" w:hAnsi="Times New Roman" w:eastAsia="楷体_GB2312"/>
                <w:sz w:val="16"/>
                <w:szCs w:val="16"/>
              </w:rPr>
              <w:t>本金余额（万元）</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2600C">
            <w:pPr>
              <w:jc w:val="center"/>
              <w:rPr>
                <w:rFonts w:ascii="Times New Roman" w:hAnsi="Times New Roman" w:eastAsia="楷体_GB2312"/>
                <w:sz w:val="16"/>
                <w:szCs w:val="16"/>
              </w:rPr>
            </w:pPr>
            <w:r>
              <w:rPr>
                <w:rFonts w:ascii="Times New Roman" w:hAnsi="Times New Roman" w:eastAsia="楷体_GB2312"/>
                <w:sz w:val="16"/>
                <w:szCs w:val="16"/>
              </w:rPr>
              <w:t>本金余额占比</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BA479">
            <w:pPr>
              <w:rPr>
                <w:rFonts w:ascii="Times New Roman" w:hAnsi="Times New Roman" w:eastAsia="楷体_GB2312"/>
                <w:sz w:val="16"/>
                <w:szCs w:val="16"/>
              </w:rPr>
            </w:pPr>
            <w:r>
              <w:rPr>
                <w:rFonts w:ascii="Times New Roman" w:hAnsi="Times New Roman" w:eastAsia="楷体_GB2312"/>
                <w:sz w:val="16"/>
                <w:szCs w:val="16"/>
              </w:rPr>
              <w:t>贷款笔数</w:t>
            </w:r>
          </w:p>
        </w:tc>
        <w:tc>
          <w:tcPr>
            <w:tcW w:w="16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17006">
            <w:pPr>
              <w:rPr>
                <w:rFonts w:ascii="Times New Roman" w:hAnsi="Times New Roman" w:eastAsia="楷体_GB2312"/>
                <w:sz w:val="16"/>
                <w:szCs w:val="16"/>
              </w:rPr>
            </w:pPr>
            <w:r>
              <w:rPr>
                <w:rFonts w:ascii="Times New Roman" w:hAnsi="Times New Roman" w:eastAsia="楷体_GB2312"/>
                <w:sz w:val="16"/>
                <w:szCs w:val="16"/>
              </w:rPr>
              <w:t>贷款笔数占比</w:t>
            </w:r>
          </w:p>
        </w:tc>
      </w:tr>
      <w:tr w14:paraId="02970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325CAE8E">
            <w:pPr>
              <w:jc w:val="center"/>
              <w:textAlignment w:val="center"/>
              <w:rPr>
                <w:rFonts w:ascii="Times New Roman" w:hAnsi="Times New Roman" w:eastAsia="楷体_GB2312"/>
              </w:rPr>
            </w:pPr>
            <w:r>
              <w:rPr>
                <w:rFonts w:ascii="Times New Roman" w:hAnsi="Times New Roman" w:eastAsia="楷体_GB2312"/>
                <w:position w:val="-1"/>
                <w:sz w:val="16"/>
              </w:rPr>
              <w:t>【】</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28A1545B">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502DE792">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0C19B4F1">
            <w:pPr>
              <w:ind w:left="105" w:leftChars="50" w:right="105" w:rightChars="50"/>
              <w:jc w:val="right"/>
              <w:textAlignment w:val="center"/>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513F406A">
            <w:pPr>
              <w:ind w:left="105" w:leftChars="50" w:right="105" w:rightChars="50"/>
              <w:jc w:val="right"/>
              <w:textAlignment w:val="center"/>
              <w:rPr>
                <w:rFonts w:ascii="Times New Roman" w:hAnsi="Times New Roman" w:eastAsia="楷体_GB2312"/>
              </w:rPr>
            </w:pPr>
            <w:r>
              <w:rPr>
                <w:rFonts w:ascii="Times New Roman" w:hAnsi="Times New Roman" w:eastAsia="楷体_GB2312"/>
                <w:color w:val="000000"/>
                <w:sz w:val="18"/>
                <w:szCs w:val="18"/>
              </w:rPr>
              <w:t>%</w:t>
            </w:r>
          </w:p>
        </w:tc>
      </w:tr>
      <w:tr w14:paraId="311BD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77A339BF">
            <w:pPr>
              <w:jc w:val="center"/>
              <w:textAlignment w:val="center"/>
              <w:rPr>
                <w:rFonts w:ascii="Times New Roman" w:hAnsi="Times New Roman" w:eastAsia="楷体_GB2312"/>
                <w:position w:val="-1"/>
                <w:sz w:val="16"/>
              </w:rPr>
            </w:pPr>
            <w:r>
              <w:rPr>
                <w:rFonts w:ascii="Times New Roman" w:hAnsi="Times New Roman" w:eastAsia="楷体_GB2312"/>
                <w:position w:val="-1"/>
                <w:sz w:val="16"/>
              </w:rPr>
              <w:t>【】</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4BEB5B8F">
            <w:pPr>
              <w:ind w:left="105" w:leftChars="50" w:right="105" w:rightChars="50"/>
              <w:jc w:val="right"/>
              <w:rPr>
                <w:rFonts w:ascii="Times New Roman" w:hAnsi="Times New Roman" w:eastAsia="楷体_GB2312"/>
                <w:position w:val="-1"/>
                <w:sz w:val="16"/>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1F246195">
            <w:pPr>
              <w:ind w:left="105" w:leftChars="50" w:right="105" w:rightChars="50"/>
              <w:jc w:val="right"/>
              <w:rPr>
                <w:rFonts w:ascii="Times New Roman" w:hAnsi="Times New Roman" w:eastAsia="楷体_GB2312"/>
                <w:position w:val="-1"/>
                <w:sz w:val="16"/>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51C0426E">
            <w:pPr>
              <w:ind w:left="105" w:leftChars="50" w:right="105" w:rightChars="50"/>
              <w:jc w:val="right"/>
              <w:textAlignment w:val="center"/>
              <w:rPr>
                <w:rFonts w:ascii="Times New Roman" w:hAnsi="Times New Roman" w:eastAsia="楷体_GB2312"/>
                <w:position w:val="-1"/>
                <w:sz w:val="16"/>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57C163BB">
            <w:pPr>
              <w:ind w:left="105" w:leftChars="50" w:right="105" w:rightChars="50"/>
              <w:jc w:val="right"/>
              <w:textAlignment w:val="center"/>
              <w:rPr>
                <w:rFonts w:ascii="Times New Roman" w:hAnsi="Times New Roman" w:eastAsia="楷体_GB2312"/>
                <w:position w:val="-1"/>
                <w:sz w:val="16"/>
              </w:rPr>
            </w:pPr>
            <w:r>
              <w:rPr>
                <w:rFonts w:ascii="Times New Roman" w:hAnsi="Times New Roman" w:eastAsia="楷体_GB2312"/>
                <w:color w:val="000000"/>
                <w:sz w:val="18"/>
                <w:szCs w:val="18"/>
              </w:rPr>
              <w:t>%</w:t>
            </w:r>
          </w:p>
        </w:tc>
      </w:tr>
      <w:tr w14:paraId="6E35A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14A394C0">
            <w:pPr>
              <w:jc w:val="center"/>
              <w:textAlignment w:val="center"/>
              <w:rPr>
                <w:rFonts w:ascii="Times New Roman" w:hAnsi="Times New Roman" w:eastAsia="楷体_GB2312"/>
              </w:rPr>
            </w:pPr>
            <w:r>
              <w:rPr>
                <w:rFonts w:ascii="Times New Roman" w:hAnsi="Times New Roman" w:eastAsia="楷体_GB2312"/>
                <w:position w:val="-1"/>
                <w:sz w:val="16"/>
              </w:rPr>
              <w:t>合计</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628E488A">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0781B838">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1684E6E8">
            <w:pPr>
              <w:ind w:left="105" w:leftChars="50" w:right="105" w:rightChars="50"/>
              <w:jc w:val="right"/>
              <w:textAlignment w:val="center"/>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039B0C5B">
            <w:pPr>
              <w:ind w:left="105" w:leftChars="50" w:right="105" w:rightChars="50"/>
              <w:jc w:val="right"/>
              <w:textAlignment w:val="center"/>
              <w:rPr>
                <w:rFonts w:ascii="Times New Roman" w:hAnsi="Times New Roman" w:eastAsia="楷体_GB2312"/>
              </w:rPr>
            </w:pPr>
            <w:r>
              <w:rPr>
                <w:rFonts w:ascii="Times New Roman" w:hAnsi="Times New Roman" w:eastAsia="楷体_GB2312"/>
                <w:color w:val="000000"/>
                <w:sz w:val="18"/>
                <w:szCs w:val="18"/>
              </w:rPr>
              <w:t>%</w:t>
            </w:r>
          </w:p>
        </w:tc>
      </w:tr>
      <w:tr w14:paraId="7DD57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878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BEB293">
            <w:pPr>
              <w:textAlignment w:val="center"/>
              <w:rPr>
                <w:rFonts w:ascii="Times New Roman" w:hAnsi="Times New Roman" w:eastAsia="楷体_GB2312"/>
                <w:sz w:val="16"/>
                <w:szCs w:val="16"/>
              </w:rPr>
            </w:pPr>
            <w:r>
              <w:rPr>
                <w:rFonts w:ascii="Times New Roman" w:hAnsi="Times New Roman" w:eastAsia="楷体_GB2312"/>
                <w:sz w:val="16"/>
                <w:szCs w:val="16"/>
              </w:rPr>
              <w:t>6.1.7 贷款期限分布</w:t>
            </w:r>
          </w:p>
        </w:tc>
      </w:tr>
      <w:tr w14:paraId="3E5B7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C1F86D">
            <w:pPr>
              <w:jc w:val="center"/>
              <w:textAlignment w:val="center"/>
              <w:rPr>
                <w:rFonts w:ascii="Times New Roman" w:hAnsi="Times New Roman" w:eastAsia="楷体_GB2312"/>
                <w:sz w:val="16"/>
                <w:szCs w:val="16"/>
              </w:rPr>
            </w:pPr>
            <w:r>
              <w:rPr>
                <w:rFonts w:ascii="Times New Roman" w:hAnsi="Times New Roman" w:eastAsia="楷体_GB2312"/>
                <w:sz w:val="16"/>
                <w:szCs w:val="16"/>
              </w:rPr>
              <w:t>贷款期限(月)</w:t>
            </w:r>
          </w:p>
        </w:tc>
        <w:tc>
          <w:tcPr>
            <w:tcW w:w="15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42B44">
            <w:pPr>
              <w:jc w:val="center"/>
              <w:rPr>
                <w:rFonts w:ascii="Times New Roman" w:hAnsi="Times New Roman" w:eastAsia="楷体_GB2312"/>
                <w:sz w:val="16"/>
                <w:szCs w:val="16"/>
              </w:rPr>
            </w:pPr>
            <w:r>
              <w:rPr>
                <w:rFonts w:ascii="Times New Roman" w:hAnsi="Times New Roman" w:eastAsia="楷体_GB2312"/>
                <w:sz w:val="16"/>
                <w:szCs w:val="16"/>
              </w:rPr>
              <w:t>本金余额（万元）</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C95FD">
            <w:pPr>
              <w:jc w:val="center"/>
              <w:rPr>
                <w:rFonts w:ascii="Times New Roman" w:hAnsi="Times New Roman" w:eastAsia="楷体_GB2312"/>
                <w:sz w:val="16"/>
                <w:szCs w:val="16"/>
              </w:rPr>
            </w:pPr>
            <w:r>
              <w:rPr>
                <w:rFonts w:ascii="Times New Roman" w:hAnsi="Times New Roman" w:eastAsia="楷体_GB2312"/>
                <w:sz w:val="16"/>
                <w:szCs w:val="16"/>
              </w:rPr>
              <w:t>本金余额占比</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E3EA">
            <w:pPr>
              <w:jc w:val="center"/>
              <w:rPr>
                <w:rFonts w:ascii="Times New Roman" w:hAnsi="Times New Roman" w:eastAsia="楷体_GB2312"/>
                <w:sz w:val="16"/>
                <w:szCs w:val="16"/>
              </w:rPr>
            </w:pPr>
            <w:r>
              <w:rPr>
                <w:rFonts w:ascii="Times New Roman" w:hAnsi="Times New Roman" w:eastAsia="楷体_GB2312"/>
                <w:sz w:val="16"/>
                <w:szCs w:val="16"/>
              </w:rPr>
              <w:t>贷款笔数</w:t>
            </w:r>
          </w:p>
        </w:tc>
        <w:tc>
          <w:tcPr>
            <w:tcW w:w="16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E70D6">
            <w:pPr>
              <w:jc w:val="center"/>
              <w:rPr>
                <w:rFonts w:ascii="Times New Roman" w:hAnsi="Times New Roman" w:eastAsia="楷体_GB2312"/>
                <w:sz w:val="16"/>
                <w:szCs w:val="16"/>
              </w:rPr>
            </w:pPr>
            <w:r>
              <w:rPr>
                <w:rFonts w:ascii="Times New Roman" w:hAnsi="Times New Roman" w:eastAsia="楷体_GB2312"/>
                <w:sz w:val="16"/>
                <w:szCs w:val="16"/>
              </w:rPr>
              <w:t>贷款笔数占比</w:t>
            </w:r>
          </w:p>
        </w:tc>
      </w:tr>
      <w:tr w14:paraId="75DF4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56564F62">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48305564">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0148C1A9">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5F3A2C30">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55BE0554">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7914F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12F1B9AE">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5E6CFBFC">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160BE018">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60A0C19F">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1230E6DA">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74D08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344F4292">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5FB99D33">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6ED09646">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5321F915">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595D8BFF">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14B30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7F1778C2">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4280A1B0">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5BC7B67A">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17B0427C">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5FF3528E">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42868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32C73AB0">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2023439D">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03E59111">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18FAE10A">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6B980862">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2B22E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3E66C395">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076A0D97">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0A9800E6">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04671D06">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02D11BC4">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57564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74A8BCD7">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08616D3C">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1CA84448">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7E503B72">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67057494">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5A4B0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251AAE33">
            <w:pPr>
              <w:jc w:val="center"/>
              <w:textAlignment w:val="center"/>
              <w:rPr>
                <w:rFonts w:ascii="Times New Roman" w:hAnsi="Times New Roman" w:eastAsia="楷体_GB2312"/>
              </w:rPr>
            </w:pPr>
            <w:r>
              <w:rPr>
                <w:rFonts w:ascii="Times New Roman" w:hAnsi="Times New Roman" w:eastAsia="楷体_GB2312"/>
                <w:position w:val="-1"/>
                <w:sz w:val="16"/>
              </w:rPr>
              <w:t>合计</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0B99A130">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1FC96CEE">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0D64ACAC">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6A40FD87">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3877D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878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BE0FFC">
            <w:pPr>
              <w:textAlignment w:val="center"/>
              <w:rPr>
                <w:rFonts w:ascii="Times New Roman" w:hAnsi="Times New Roman" w:eastAsia="楷体_GB2312"/>
                <w:sz w:val="16"/>
                <w:szCs w:val="16"/>
              </w:rPr>
            </w:pPr>
            <w:r>
              <w:rPr>
                <w:rFonts w:ascii="Times New Roman" w:hAnsi="Times New Roman" w:eastAsia="楷体_GB2312"/>
                <w:sz w:val="16"/>
                <w:szCs w:val="16"/>
              </w:rPr>
              <w:t>6.1.8 贷款剩余期限分布</w:t>
            </w:r>
          </w:p>
        </w:tc>
      </w:tr>
      <w:tr w14:paraId="17AA2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880ECD">
            <w:pPr>
              <w:jc w:val="center"/>
              <w:textAlignment w:val="center"/>
              <w:rPr>
                <w:rFonts w:ascii="Times New Roman" w:hAnsi="Times New Roman" w:eastAsia="楷体_GB2312"/>
                <w:sz w:val="16"/>
                <w:szCs w:val="16"/>
              </w:rPr>
            </w:pPr>
            <w:r>
              <w:rPr>
                <w:rFonts w:ascii="Times New Roman" w:hAnsi="Times New Roman" w:eastAsia="楷体_GB2312"/>
                <w:sz w:val="16"/>
                <w:szCs w:val="16"/>
              </w:rPr>
              <w:t>贷款剩余期限(月)</w:t>
            </w:r>
          </w:p>
        </w:tc>
        <w:tc>
          <w:tcPr>
            <w:tcW w:w="15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CB74D">
            <w:pPr>
              <w:jc w:val="center"/>
              <w:rPr>
                <w:rFonts w:ascii="Times New Roman" w:hAnsi="Times New Roman" w:eastAsia="楷体_GB2312"/>
                <w:sz w:val="16"/>
                <w:szCs w:val="16"/>
              </w:rPr>
            </w:pPr>
            <w:r>
              <w:rPr>
                <w:rFonts w:ascii="Times New Roman" w:hAnsi="Times New Roman" w:eastAsia="楷体_GB2312"/>
                <w:sz w:val="16"/>
                <w:szCs w:val="16"/>
              </w:rPr>
              <w:t>本金余额（万元）</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0BCDF">
            <w:pPr>
              <w:jc w:val="center"/>
              <w:rPr>
                <w:rFonts w:ascii="Times New Roman" w:hAnsi="Times New Roman" w:eastAsia="楷体_GB2312"/>
                <w:sz w:val="16"/>
                <w:szCs w:val="16"/>
              </w:rPr>
            </w:pPr>
            <w:r>
              <w:rPr>
                <w:rFonts w:ascii="Times New Roman" w:hAnsi="Times New Roman" w:eastAsia="楷体_GB2312"/>
                <w:sz w:val="16"/>
                <w:szCs w:val="16"/>
              </w:rPr>
              <w:t>本金余额占比</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A7DD2">
            <w:pPr>
              <w:jc w:val="center"/>
              <w:rPr>
                <w:rFonts w:ascii="Times New Roman" w:hAnsi="Times New Roman" w:eastAsia="楷体_GB2312"/>
                <w:sz w:val="16"/>
                <w:szCs w:val="16"/>
              </w:rPr>
            </w:pPr>
            <w:r>
              <w:rPr>
                <w:rFonts w:ascii="Times New Roman" w:hAnsi="Times New Roman" w:eastAsia="楷体_GB2312"/>
                <w:sz w:val="16"/>
                <w:szCs w:val="16"/>
              </w:rPr>
              <w:t>贷款笔数</w:t>
            </w:r>
          </w:p>
        </w:tc>
        <w:tc>
          <w:tcPr>
            <w:tcW w:w="16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9ADB6">
            <w:pPr>
              <w:jc w:val="center"/>
              <w:rPr>
                <w:rFonts w:ascii="Times New Roman" w:hAnsi="Times New Roman" w:eastAsia="楷体_GB2312"/>
                <w:sz w:val="16"/>
                <w:szCs w:val="16"/>
              </w:rPr>
            </w:pPr>
            <w:r>
              <w:rPr>
                <w:rFonts w:ascii="Times New Roman" w:hAnsi="Times New Roman" w:eastAsia="楷体_GB2312"/>
                <w:sz w:val="16"/>
                <w:szCs w:val="16"/>
              </w:rPr>
              <w:t>贷款笔数占比</w:t>
            </w:r>
          </w:p>
        </w:tc>
      </w:tr>
      <w:tr w14:paraId="70D4B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7612CC6D">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4A3976D2">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19902EA2">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4B59B63F">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4BB16DF8">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02B95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2A780D43">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5AA18580">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018B6841">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5C2B368A">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00D83D6E">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5765A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1B29765F">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20AEE5B4">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70AEE4A5">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0086839F">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43741565">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4A7C1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72619022">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23E34F15">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625D8D4D">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3A02B769">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15431B54">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1B218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150003A6">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3C98AC81">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481EA95A">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5B53CF64">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3948062C">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05BA2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713CF302">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4A437954">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1992710C">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2207918F">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1767D745">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12E17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5283E88E">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297D63A8">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4A64F63A">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1E46F2E1">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22E0531E">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256C3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6E367B1E">
            <w:pPr>
              <w:jc w:val="center"/>
              <w:textAlignment w:val="center"/>
              <w:rPr>
                <w:rFonts w:ascii="Times New Roman" w:hAnsi="Times New Roman" w:eastAsia="楷体_GB2312"/>
              </w:rPr>
            </w:pPr>
            <w:r>
              <w:rPr>
                <w:rFonts w:ascii="Times New Roman" w:hAnsi="Times New Roman" w:eastAsia="楷体_GB2312"/>
                <w:position w:val="-1"/>
                <w:sz w:val="16"/>
              </w:rPr>
              <w:t>合计</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3B1E17FF">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0C8B7346">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5CD1EB8A">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7C46064A">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4DD33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878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FCA1AD">
            <w:pPr>
              <w:textAlignment w:val="center"/>
              <w:rPr>
                <w:rFonts w:ascii="Times New Roman" w:hAnsi="Times New Roman" w:eastAsia="楷体_GB2312"/>
                <w:sz w:val="16"/>
                <w:szCs w:val="16"/>
              </w:rPr>
            </w:pPr>
            <w:r>
              <w:rPr>
                <w:rFonts w:ascii="Times New Roman" w:hAnsi="Times New Roman" w:eastAsia="楷体_GB2312"/>
                <w:sz w:val="16"/>
                <w:szCs w:val="16"/>
              </w:rPr>
              <w:t>6.1.9 贷款账龄分布</w:t>
            </w:r>
          </w:p>
        </w:tc>
      </w:tr>
      <w:tr w14:paraId="02C09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93B739">
            <w:pPr>
              <w:jc w:val="center"/>
              <w:textAlignment w:val="center"/>
              <w:rPr>
                <w:rFonts w:ascii="Times New Roman" w:hAnsi="Times New Roman" w:eastAsia="楷体_GB2312"/>
                <w:sz w:val="16"/>
                <w:szCs w:val="16"/>
              </w:rPr>
            </w:pPr>
            <w:r>
              <w:rPr>
                <w:rFonts w:ascii="Times New Roman" w:hAnsi="Times New Roman" w:eastAsia="楷体_GB2312"/>
                <w:sz w:val="16"/>
                <w:szCs w:val="16"/>
              </w:rPr>
              <w:t>贷款账龄(月)</w:t>
            </w:r>
          </w:p>
        </w:tc>
        <w:tc>
          <w:tcPr>
            <w:tcW w:w="15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8E46B">
            <w:pPr>
              <w:jc w:val="center"/>
              <w:rPr>
                <w:rFonts w:ascii="Times New Roman" w:hAnsi="Times New Roman" w:eastAsia="楷体_GB2312"/>
                <w:sz w:val="16"/>
                <w:szCs w:val="16"/>
              </w:rPr>
            </w:pPr>
            <w:r>
              <w:rPr>
                <w:rFonts w:ascii="Times New Roman" w:hAnsi="Times New Roman" w:eastAsia="楷体_GB2312"/>
                <w:sz w:val="16"/>
                <w:szCs w:val="16"/>
              </w:rPr>
              <w:t>本金余额（万元）</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FA71F">
            <w:pPr>
              <w:jc w:val="center"/>
              <w:rPr>
                <w:rFonts w:ascii="Times New Roman" w:hAnsi="Times New Roman" w:eastAsia="楷体_GB2312"/>
                <w:sz w:val="16"/>
                <w:szCs w:val="16"/>
              </w:rPr>
            </w:pPr>
            <w:r>
              <w:rPr>
                <w:rFonts w:ascii="Times New Roman" w:hAnsi="Times New Roman" w:eastAsia="楷体_GB2312"/>
                <w:sz w:val="16"/>
                <w:szCs w:val="16"/>
              </w:rPr>
              <w:t>本金余额占比</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B50B1">
            <w:pPr>
              <w:jc w:val="center"/>
              <w:rPr>
                <w:rFonts w:ascii="Times New Roman" w:hAnsi="Times New Roman" w:eastAsia="楷体_GB2312"/>
                <w:sz w:val="16"/>
                <w:szCs w:val="16"/>
              </w:rPr>
            </w:pPr>
            <w:r>
              <w:rPr>
                <w:rFonts w:ascii="Times New Roman" w:hAnsi="Times New Roman" w:eastAsia="楷体_GB2312"/>
                <w:sz w:val="16"/>
                <w:szCs w:val="16"/>
              </w:rPr>
              <w:t>贷款笔数</w:t>
            </w:r>
          </w:p>
        </w:tc>
        <w:tc>
          <w:tcPr>
            <w:tcW w:w="16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356AA">
            <w:pPr>
              <w:jc w:val="center"/>
              <w:rPr>
                <w:rFonts w:ascii="Times New Roman" w:hAnsi="Times New Roman" w:eastAsia="楷体_GB2312"/>
                <w:sz w:val="16"/>
                <w:szCs w:val="16"/>
              </w:rPr>
            </w:pPr>
            <w:r>
              <w:rPr>
                <w:rFonts w:ascii="Times New Roman" w:hAnsi="Times New Roman" w:eastAsia="楷体_GB2312"/>
                <w:sz w:val="16"/>
                <w:szCs w:val="16"/>
              </w:rPr>
              <w:t>贷款笔数占比</w:t>
            </w:r>
          </w:p>
        </w:tc>
      </w:tr>
      <w:tr w14:paraId="22260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30C98A51">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3ECC075E">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344365A2">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189ED271">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1FFC03AF">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3403F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26F7BE16">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094420E5">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15AEAEEF">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6979D413">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01C9C129">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4045F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171CCCDC">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46EBE080">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62105A67">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2868FB55">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5E7EC484">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5C5F5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57380417">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1B01D4F4">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30534C04">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0697F1D9">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0E25D4BF">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6009E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51C20061">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1A9557EA">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6E5A7B34">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203579DF">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3E911CC7">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4E388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767E6D75">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6B3A1E2F">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2FA4D481">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61793433">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01D4727B">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44C3C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697A1D2C">
            <w:pPr>
              <w:jc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0CBE0A0A">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7193C811">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4D6F3B59">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3F4492E2">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43A50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24F12C5B">
            <w:pPr>
              <w:jc w:val="center"/>
              <w:textAlignment w:val="center"/>
              <w:rPr>
                <w:rFonts w:ascii="Times New Roman" w:hAnsi="Times New Roman" w:eastAsia="楷体_GB2312"/>
              </w:rPr>
            </w:pPr>
            <w:r>
              <w:rPr>
                <w:rFonts w:ascii="Times New Roman" w:hAnsi="Times New Roman" w:eastAsia="楷体_GB2312"/>
                <w:position w:val="-1"/>
                <w:sz w:val="16"/>
              </w:rPr>
              <w:t>合计</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533F5634">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3FDAFD1B">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4F2CC415">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036B3A37">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5C372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878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48C841">
            <w:pPr>
              <w:rPr>
                <w:rFonts w:ascii="Times New Roman" w:hAnsi="Times New Roman" w:eastAsia="楷体_GB2312"/>
                <w:sz w:val="16"/>
                <w:szCs w:val="16"/>
              </w:rPr>
            </w:pPr>
            <w:r>
              <w:rPr>
                <w:rFonts w:ascii="Times New Roman" w:hAnsi="Times New Roman" w:eastAsia="楷体_GB2312"/>
                <w:sz w:val="16"/>
                <w:szCs w:val="16"/>
              </w:rPr>
              <w:t>6.1.10 贷款用途分布</w:t>
            </w:r>
          </w:p>
        </w:tc>
      </w:tr>
      <w:tr w14:paraId="23739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1A52E0">
            <w:pPr>
              <w:jc w:val="center"/>
              <w:textAlignment w:val="center"/>
              <w:rPr>
                <w:rFonts w:ascii="Times New Roman" w:hAnsi="Times New Roman" w:eastAsia="楷体_GB2312"/>
                <w:sz w:val="16"/>
                <w:szCs w:val="16"/>
              </w:rPr>
            </w:pPr>
            <w:r>
              <w:rPr>
                <w:rFonts w:ascii="Times New Roman" w:hAnsi="Times New Roman" w:eastAsia="楷体_GB2312"/>
                <w:sz w:val="16"/>
                <w:szCs w:val="16"/>
              </w:rPr>
              <w:t>贷款用途</w:t>
            </w:r>
          </w:p>
        </w:tc>
        <w:tc>
          <w:tcPr>
            <w:tcW w:w="15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A40AE">
            <w:pPr>
              <w:jc w:val="center"/>
              <w:rPr>
                <w:rFonts w:ascii="Times New Roman" w:hAnsi="Times New Roman" w:eastAsia="楷体_GB2312"/>
                <w:sz w:val="16"/>
                <w:szCs w:val="16"/>
              </w:rPr>
            </w:pPr>
            <w:r>
              <w:rPr>
                <w:rFonts w:ascii="Times New Roman" w:hAnsi="Times New Roman" w:eastAsia="楷体_GB2312"/>
                <w:sz w:val="16"/>
                <w:szCs w:val="16"/>
              </w:rPr>
              <w:t>本金余额（万元）</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01CDE">
            <w:pPr>
              <w:jc w:val="center"/>
              <w:rPr>
                <w:rFonts w:ascii="Times New Roman" w:hAnsi="Times New Roman" w:eastAsia="楷体_GB2312"/>
                <w:sz w:val="16"/>
                <w:szCs w:val="16"/>
              </w:rPr>
            </w:pPr>
            <w:r>
              <w:rPr>
                <w:rFonts w:ascii="Times New Roman" w:hAnsi="Times New Roman" w:eastAsia="楷体_GB2312"/>
                <w:sz w:val="16"/>
                <w:szCs w:val="16"/>
              </w:rPr>
              <w:t>本金余额占比</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03955">
            <w:pPr>
              <w:jc w:val="center"/>
              <w:rPr>
                <w:rFonts w:ascii="Times New Roman" w:hAnsi="Times New Roman" w:eastAsia="楷体_GB2312"/>
                <w:sz w:val="16"/>
                <w:szCs w:val="16"/>
              </w:rPr>
            </w:pPr>
            <w:r>
              <w:rPr>
                <w:rFonts w:ascii="Times New Roman" w:hAnsi="Times New Roman" w:eastAsia="楷体_GB2312"/>
                <w:sz w:val="16"/>
                <w:szCs w:val="16"/>
              </w:rPr>
              <w:t>贷款笔数</w:t>
            </w:r>
          </w:p>
        </w:tc>
        <w:tc>
          <w:tcPr>
            <w:tcW w:w="16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42CB4">
            <w:pPr>
              <w:jc w:val="center"/>
              <w:rPr>
                <w:rFonts w:ascii="Times New Roman" w:hAnsi="Times New Roman" w:eastAsia="楷体_GB2312"/>
                <w:sz w:val="16"/>
                <w:szCs w:val="16"/>
              </w:rPr>
            </w:pPr>
            <w:r>
              <w:rPr>
                <w:rFonts w:ascii="Times New Roman" w:hAnsi="Times New Roman" w:eastAsia="楷体_GB2312"/>
                <w:sz w:val="16"/>
                <w:szCs w:val="16"/>
              </w:rPr>
              <w:t>贷款笔数占比</w:t>
            </w:r>
          </w:p>
        </w:tc>
      </w:tr>
      <w:tr w14:paraId="3AD4E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24C3999C">
            <w:pPr>
              <w:jc w:val="center"/>
              <w:textAlignment w:val="center"/>
              <w:rPr>
                <w:rFonts w:ascii="Times New Roman" w:hAnsi="Times New Roman" w:eastAsia="楷体_GB2312"/>
              </w:rPr>
            </w:pPr>
            <w:r>
              <w:rPr>
                <w:rFonts w:ascii="Times New Roman" w:hAnsi="Times New Roman" w:eastAsia="楷体_GB2312"/>
                <w:position w:val="-1"/>
                <w:sz w:val="16"/>
              </w:rPr>
              <w:t>【……】</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7EE8C23F">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4270DD27">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7EE0FB27">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18100D24">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3FBE1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15EA530C">
            <w:pPr>
              <w:jc w:val="center"/>
              <w:textAlignment w:val="center"/>
              <w:rPr>
                <w:rFonts w:ascii="Times New Roman" w:hAnsi="Times New Roman" w:eastAsia="楷体_GB2312"/>
              </w:rPr>
            </w:pPr>
            <w:r>
              <w:rPr>
                <w:rFonts w:ascii="Times New Roman" w:hAnsi="Times New Roman" w:eastAsia="楷体_GB2312"/>
                <w:position w:val="-1"/>
                <w:sz w:val="16"/>
              </w:rPr>
              <w:t>【……】</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5980B811">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3A2253AB">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51F0ABC0">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18F9BC6B">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75432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7B4FAD9A">
            <w:pPr>
              <w:jc w:val="center"/>
              <w:textAlignment w:val="center"/>
              <w:rPr>
                <w:rFonts w:ascii="Times New Roman" w:hAnsi="Times New Roman" w:eastAsia="楷体_GB2312"/>
                <w:position w:val="-1"/>
                <w:sz w:val="16"/>
              </w:rPr>
            </w:pPr>
            <w:r>
              <w:rPr>
                <w:rFonts w:ascii="Times New Roman" w:hAnsi="Times New Roman" w:eastAsia="楷体_GB2312"/>
                <w:position w:val="-1"/>
                <w:sz w:val="16"/>
              </w:rPr>
              <w:t>【……】</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3AC3D6AB">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060F435A">
            <w:pPr>
              <w:ind w:left="105" w:leftChars="50" w:right="105" w:rightChars="50"/>
              <w:jc w:val="right"/>
              <w:rPr>
                <w:rFonts w:ascii="Times New Roman" w:hAnsi="Times New Roman" w:eastAsia="楷体_GB2312"/>
                <w:color w:val="000000"/>
                <w:sz w:val="18"/>
                <w:szCs w:val="18"/>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12979662">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5C70FA67">
            <w:pPr>
              <w:ind w:left="105" w:leftChars="50" w:right="105" w:rightChars="50"/>
              <w:jc w:val="right"/>
              <w:rPr>
                <w:rFonts w:ascii="Times New Roman" w:hAnsi="Times New Roman" w:eastAsia="楷体_GB2312"/>
                <w:color w:val="000000"/>
                <w:sz w:val="18"/>
                <w:szCs w:val="18"/>
              </w:rPr>
            </w:pPr>
            <w:r>
              <w:rPr>
                <w:rFonts w:ascii="Times New Roman" w:hAnsi="Times New Roman" w:eastAsia="楷体_GB2312"/>
                <w:color w:val="000000"/>
                <w:sz w:val="18"/>
                <w:szCs w:val="18"/>
              </w:rPr>
              <w:t>%</w:t>
            </w:r>
          </w:p>
        </w:tc>
      </w:tr>
      <w:tr w14:paraId="23FAF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2B84D89F">
            <w:pPr>
              <w:jc w:val="center"/>
              <w:textAlignment w:val="center"/>
              <w:rPr>
                <w:rFonts w:ascii="Times New Roman" w:hAnsi="Times New Roman" w:eastAsia="楷体_GB2312"/>
              </w:rPr>
            </w:pPr>
            <w:r>
              <w:rPr>
                <w:rFonts w:ascii="Times New Roman" w:hAnsi="Times New Roman" w:eastAsia="楷体_GB2312"/>
                <w:position w:val="-1"/>
                <w:sz w:val="16"/>
              </w:rPr>
              <w:t>合计</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2277259A">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4FEA569E">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6C09C4C9">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4DCF479C">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1904D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878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F2DC93">
            <w:pPr>
              <w:rPr>
                <w:rFonts w:ascii="Times New Roman" w:hAnsi="Times New Roman" w:eastAsia="楷体_GB2312"/>
                <w:sz w:val="16"/>
                <w:szCs w:val="16"/>
              </w:rPr>
            </w:pPr>
            <w:r>
              <w:rPr>
                <w:rFonts w:ascii="Times New Roman" w:hAnsi="Times New Roman" w:eastAsia="楷体_GB2312"/>
                <w:sz w:val="16"/>
                <w:szCs w:val="16"/>
              </w:rPr>
              <w:t>6.1.11 贷款类型分布</w:t>
            </w:r>
          </w:p>
        </w:tc>
      </w:tr>
      <w:tr w14:paraId="07484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50C91D">
            <w:pPr>
              <w:jc w:val="center"/>
              <w:textAlignment w:val="center"/>
              <w:rPr>
                <w:rFonts w:ascii="Times New Roman" w:hAnsi="Times New Roman" w:eastAsia="楷体_GB2312"/>
                <w:sz w:val="16"/>
                <w:szCs w:val="16"/>
              </w:rPr>
            </w:pPr>
            <w:r>
              <w:rPr>
                <w:rFonts w:ascii="Times New Roman" w:hAnsi="Times New Roman" w:eastAsia="楷体_GB2312"/>
                <w:sz w:val="16"/>
                <w:szCs w:val="16"/>
              </w:rPr>
              <w:t>贷款类型</w:t>
            </w:r>
          </w:p>
        </w:tc>
        <w:tc>
          <w:tcPr>
            <w:tcW w:w="15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03A25">
            <w:pPr>
              <w:jc w:val="center"/>
              <w:rPr>
                <w:rFonts w:ascii="Times New Roman" w:hAnsi="Times New Roman" w:eastAsia="楷体_GB2312"/>
                <w:sz w:val="16"/>
                <w:szCs w:val="16"/>
              </w:rPr>
            </w:pPr>
            <w:r>
              <w:rPr>
                <w:rFonts w:ascii="Times New Roman" w:hAnsi="Times New Roman" w:eastAsia="楷体_GB2312"/>
                <w:sz w:val="16"/>
                <w:szCs w:val="16"/>
              </w:rPr>
              <w:t>本金余额（万元）</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38AC3">
            <w:pPr>
              <w:jc w:val="center"/>
              <w:rPr>
                <w:rFonts w:ascii="Times New Roman" w:hAnsi="Times New Roman" w:eastAsia="楷体_GB2312"/>
                <w:sz w:val="16"/>
                <w:szCs w:val="16"/>
              </w:rPr>
            </w:pPr>
            <w:r>
              <w:rPr>
                <w:rFonts w:ascii="Times New Roman" w:hAnsi="Times New Roman" w:eastAsia="楷体_GB2312"/>
                <w:sz w:val="16"/>
                <w:szCs w:val="16"/>
              </w:rPr>
              <w:t>本金余额占比</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F3535">
            <w:pPr>
              <w:jc w:val="center"/>
              <w:rPr>
                <w:rFonts w:ascii="Times New Roman" w:hAnsi="Times New Roman" w:eastAsia="楷体_GB2312"/>
                <w:sz w:val="16"/>
                <w:szCs w:val="16"/>
              </w:rPr>
            </w:pPr>
            <w:r>
              <w:rPr>
                <w:rFonts w:ascii="Times New Roman" w:hAnsi="Times New Roman" w:eastAsia="楷体_GB2312"/>
                <w:sz w:val="16"/>
                <w:szCs w:val="16"/>
              </w:rPr>
              <w:t>贷款笔数</w:t>
            </w:r>
          </w:p>
        </w:tc>
        <w:tc>
          <w:tcPr>
            <w:tcW w:w="16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8E7FA">
            <w:pPr>
              <w:jc w:val="center"/>
              <w:rPr>
                <w:rFonts w:ascii="Times New Roman" w:hAnsi="Times New Roman" w:eastAsia="楷体_GB2312"/>
                <w:sz w:val="16"/>
                <w:szCs w:val="16"/>
              </w:rPr>
            </w:pPr>
            <w:r>
              <w:rPr>
                <w:rFonts w:ascii="Times New Roman" w:hAnsi="Times New Roman" w:eastAsia="楷体_GB2312"/>
                <w:sz w:val="16"/>
                <w:szCs w:val="16"/>
              </w:rPr>
              <w:t>贷款笔数占比</w:t>
            </w:r>
          </w:p>
        </w:tc>
      </w:tr>
      <w:tr w14:paraId="708E9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7A81646A">
            <w:pPr>
              <w:jc w:val="center"/>
              <w:textAlignment w:val="center"/>
              <w:rPr>
                <w:rFonts w:ascii="Times New Roman" w:hAnsi="Times New Roman" w:eastAsia="楷体_GB2312"/>
              </w:rPr>
            </w:pPr>
            <w:r>
              <w:rPr>
                <w:rFonts w:ascii="Times New Roman" w:hAnsi="Times New Roman" w:eastAsia="楷体_GB2312"/>
                <w:position w:val="-1"/>
                <w:sz w:val="16"/>
              </w:rPr>
              <w:t>业务品种</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50F63656">
            <w:pPr>
              <w:ind w:left="105" w:leftChars="50" w:right="105" w:rightChars="50"/>
              <w:jc w:val="right"/>
              <w:rPr>
                <w:rFonts w:ascii="Times New Roman" w:hAnsi="Times New Roman" w:eastAsia="楷体_GB2312"/>
              </w:rPr>
            </w:pPr>
            <w:r>
              <w:rPr>
                <w:rFonts w:ascii="Times New Roman" w:hAnsi="Times New Roman" w:eastAsia="楷体_GB2312"/>
                <w:position w:val="-1"/>
                <w:sz w:val="16"/>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108F5697">
            <w:pPr>
              <w:ind w:left="105" w:leftChars="50" w:right="105" w:rightChars="50"/>
              <w:jc w:val="right"/>
              <w:rPr>
                <w:rFonts w:ascii="Times New Roman" w:hAnsi="Times New Roman" w:eastAsia="楷体_GB2312"/>
              </w:rPr>
            </w:pPr>
            <w:r>
              <w:rPr>
                <w:rFonts w:ascii="Times New Roman" w:hAnsi="Times New Roman" w:eastAsia="楷体_GB2312"/>
                <w:position w:val="-1"/>
                <w:sz w:val="16"/>
              </w:rPr>
              <w:t>0.00</w:t>
            </w: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65F98E0F">
            <w:pPr>
              <w:ind w:left="105" w:leftChars="50" w:right="105" w:rightChars="50"/>
              <w:jc w:val="right"/>
              <w:rPr>
                <w:rFonts w:ascii="Times New Roman" w:hAnsi="Times New Roman" w:eastAsia="楷体_GB2312"/>
              </w:rPr>
            </w:pPr>
            <w:r>
              <w:rPr>
                <w:rFonts w:ascii="Times New Roman" w:hAnsi="Times New Roman" w:eastAsia="楷体_GB2312"/>
                <w:position w:val="-1"/>
                <w:sz w:val="16"/>
              </w:rPr>
              <w:t>3</w:t>
            </w: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31CBBFEC">
            <w:pPr>
              <w:ind w:left="105" w:leftChars="50" w:right="105" w:rightChars="50"/>
              <w:jc w:val="right"/>
              <w:rPr>
                <w:rFonts w:ascii="Times New Roman" w:hAnsi="Times New Roman" w:eastAsia="楷体_GB2312"/>
              </w:rPr>
            </w:pPr>
            <w:r>
              <w:rPr>
                <w:rFonts w:ascii="Times New Roman" w:hAnsi="Times New Roman" w:eastAsia="楷体_GB2312"/>
                <w:position w:val="-1"/>
                <w:sz w:val="16"/>
              </w:rPr>
              <w:t>100.00</w:t>
            </w:r>
            <w:r>
              <w:rPr>
                <w:rFonts w:ascii="Times New Roman" w:hAnsi="Times New Roman" w:eastAsia="楷体_GB2312"/>
                <w:color w:val="000000"/>
                <w:sz w:val="18"/>
                <w:szCs w:val="18"/>
              </w:rPr>
              <w:t>%</w:t>
            </w:r>
          </w:p>
        </w:tc>
      </w:tr>
      <w:tr w14:paraId="67F91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2A70A3B4">
            <w:pPr>
              <w:jc w:val="center"/>
              <w:textAlignment w:val="center"/>
              <w:rPr>
                <w:rFonts w:ascii="Times New Roman" w:hAnsi="Times New Roman" w:eastAsia="楷体_GB2312"/>
              </w:rPr>
            </w:pPr>
            <w:r>
              <w:rPr>
                <w:rFonts w:ascii="Times New Roman" w:hAnsi="Times New Roman" w:eastAsia="楷体_GB2312"/>
                <w:position w:val="-1"/>
                <w:sz w:val="16"/>
              </w:rPr>
              <w:t>合计</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3E450523">
            <w:pPr>
              <w:ind w:left="105" w:leftChars="50" w:right="105" w:rightChars="50"/>
              <w:jc w:val="right"/>
              <w:rPr>
                <w:rFonts w:ascii="Times New Roman" w:hAnsi="Times New Roman" w:eastAsia="楷体_GB2312"/>
              </w:rPr>
            </w:pPr>
            <w:r>
              <w:rPr>
                <w:rFonts w:ascii="Times New Roman" w:hAnsi="Times New Roman" w:eastAsia="楷体_GB2312"/>
                <w:position w:val="-1"/>
                <w:sz w:val="16"/>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78E2D3E5">
            <w:pPr>
              <w:ind w:left="105" w:leftChars="50" w:right="105" w:rightChars="50"/>
              <w:jc w:val="right"/>
              <w:rPr>
                <w:rFonts w:ascii="Times New Roman" w:hAnsi="Times New Roman" w:eastAsia="楷体_GB2312"/>
              </w:rPr>
            </w:pPr>
            <w:r>
              <w:rPr>
                <w:rFonts w:ascii="Times New Roman" w:hAnsi="Times New Roman" w:eastAsia="楷体_GB2312"/>
                <w:position w:val="-1"/>
                <w:sz w:val="16"/>
              </w:rPr>
              <w:t>100.00</w:t>
            </w: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30E803A2">
            <w:pPr>
              <w:ind w:left="105" w:leftChars="50" w:right="105" w:rightChars="50"/>
              <w:jc w:val="right"/>
              <w:rPr>
                <w:rFonts w:ascii="Times New Roman" w:hAnsi="Times New Roman" w:eastAsia="楷体_GB2312"/>
              </w:rPr>
            </w:pPr>
            <w:r>
              <w:rPr>
                <w:rFonts w:ascii="Times New Roman" w:hAnsi="Times New Roman" w:eastAsia="楷体_GB2312"/>
                <w:position w:val="-1"/>
                <w:sz w:val="16"/>
              </w:rPr>
              <w:t>3</w:t>
            </w: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4FE0390A">
            <w:pPr>
              <w:ind w:left="105" w:leftChars="50" w:right="105" w:rightChars="50"/>
              <w:jc w:val="right"/>
              <w:rPr>
                <w:rFonts w:ascii="Times New Roman" w:hAnsi="Times New Roman" w:eastAsia="楷体_GB2312"/>
              </w:rPr>
            </w:pPr>
            <w:r>
              <w:rPr>
                <w:rFonts w:ascii="Times New Roman" w:hAnsi="Times New Roman" w:eastAsia="楷体_GB2312"/>
                <w:position w:val="-1"/>
                <w:sz w:val="16"/>
              </w:rPr>
              <w:t>100.00</w:t>
            </w:r>
            <w:r>
              <w:rPr>
                <w:rFonts w:ascii="Times New Roman" w:hAnsi="Times New Roman" w:eastAsia="楷体_GB2312"/>
                <w:color w:val="000000"/>
                <w:sz w:val="18"/>
                <w:szCs w:val="18"/>
              </w:rPr>
              <w:t>%</w:t>
            </w:r>
          </w:p>
        </w:tc>
      </w:tr>
      <w:tr w14:paraId="7F513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8789" w:type="dxa"/>
            <w:gridSpan w:val="5"/>
            <w:tcBorders>
              <w:top w:val="single" w:color="000000" w:sz="4" w:space="0"/>
              <w:left w:val="single" w:color="000000" w:sz="4" w:space="0"/>
              <w:bottom w:val="single" w:color="000000" w:sz="4" w:space="0"/>
              <w:right w:val="single" w:color="000000" w:sz="4" w:space="0"/>
            </w:tcBorders>
            <w:shd w:val="pct10" w:color="auto" w:fill="auto"/>
            <w:noWrap/>
            <w:tcMar>
              <w:top w:w="15" w:type="dxa"/>
              <w:left w:w="15" w:type="dxa"/>
              <w:right w:w="15" w:type="dxa"/>
            </w:tcMar>
            <w:vAlign w:val="center"/>
          </w:tcPr>
          <w:p w14:paraId="590065E1">
            <w:pPr>
              <w:spacing w:line="276" w:lineRule="auto"/>
              <w:rPr>
                <w:rFonts w:ascii="Times New Roman" w:hAnsi="Times New Roman" w:eastAsia="楷体_GB2312"/>
                <w:b/>
                <w:color w:val="000000"/>
              </w:rPr>
            </w:pPr>
            <w:r>
              <w:rPr>
                <w:rFonts w:ascii="Times New Roman" w:hAnsi="Times New Roman" w:eastAsia="楷体_GB2312"/>
                <w:b/>
                <w:color w:val="000000"/>
                <w:szCs w:val="21"/>
              </w:rPr>
              <w:t>6.2 借款人分布信息</w:t>
            </w:r>
          </w:p>
        </w:tc>
      </w:tr>
      <w:tr w14:paraId="5B543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116" w:hRule="atLeast"/>
        </w:trPr>
        <w:tc>
          <w:tcPr>
            <w:tcW w:w="878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B921D7">
            <w:pPr>
              <w:textAlignment w:val="center"/>
              <w:rPr>
                <w:rFonts w:ascii="Times New Roman" w:hAnsi="Times New Roman" w:eastAsia="楷体_GB2312"/>
                <w:sz w:val="16"/>
                <w:szCs w:val="16"/>
              </w:rPr>
            </w:pPr>
            <w:r>
              <w:rPr>
                <w:rFonts w:ascii="Times New Roman" w:hAnsi="Times New Roman" w:eastAsia="楷体_GB2312"/>
                <w:sz w:val="16"/>
                <w:szCs w:val="16"/>
              </w:rPr>
              <w:t>6.2.1 借款人年龄分布</w:t>
            </w:r>
          </w:p>
        </w:tc>
      </w:tr>
      <w:tr w14:paraId="49D1B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206"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65AB2E">
            <w:pPr>
              <w:jc w:val="center"/>
              <w:textAlignment w:val="center"/>
              <w:rPr>
                <w:rFonts w:ascii="Times New Roman" w:hAnsi="Times New Roman" w:eastAsia="楷体_GB2312"/>
                <w:sz w:val="16"/>
                <w:szCs w:val="16"/>
              </w:rPr>
            </w:pPr>
            <w:r>
              <w:rPr>
                <w:rFonts w:ascii="Times New Roman" w:hAnsi="Times New Roman" w:eastAsia="楷体_GB2312"/>
                <w:sz w:val="16"/>
                <w:szCs w:val="16"/>
              </w:rPr>
              <w:t>借款人年龄(岁)</w:t>
            </w:r>
          </w:p>
        </w:tc>
        <w:tc>
          <w:tcPr>
            <w:tcW w:w="15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4F06E">
            <w:pPr>
              <w:jc w:val="center"/>
              <w:rPr>
                <w:rFonts w:ascii="Times New Roman" w:hAnsi="Times New Roman" w:eastAsia="楷体_GB2312"/>
                <w:sz w:val="16"/>
                <w:szCs w:val="16"/>
              </w:rPr>
            </w:pPr>
            <w:r>
              <w:rPr>
                <w:rFonts w:ascii="Times New Roman" w:hAnsi="Times New Roman" w:eastAsia="楷体_GB2312"/>
                <w:sz w:val="16"/>
                <w:szCs w:val="16"/>
              </w:rPr>
              <w:t>本金余额（万元）</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89B4E">
            <w:pPr>
              <w:jc w:val="center"/>
              <w:rPr>
                <w:rFonts w:ascii="Times New Roman" w:hAnsi="Times New Roman" w:eastAsia="楷体_GB2312"/>
                <w:sz w:val="16"/>
                <w:szCs w:val="16"/>
              </w:rPr>
            </w:pPr>
            <w:r>
              <w:rPr>
                <w:rFonts w:ascii="Times New Roman" w:hAnsi="Times New Roman" w:eastAsia="楷体_GB2312"/>
                <w:sz w:val="16"/>
                <w:szCs w:val="16"/>
              </w:rPr>
              <w:t>本金余额占比</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AD62D">
            <w:pPr>
              <w:jc w:val="center"/>
              <w:rPr>
                <w:rFonts w:ascii="Times New Roman" w:hAnsi="Times New Roman" w:eastAsia="楷体_GB2312"/>
                <w:sz w:val="16"/>
                <w:szCs w:val="16"/>
              </w:rPr>
            </w:pPr>
            <w:r>
              <w:rPr>
                <w:rFonts w:ascii="Times New Roman" w:hAnsi="Times New Roman" w:eastAsia="楷体_GB2312"/>
                <w:sz w:val="16"/>
                <w:szCs w:val="16"/>
              </w:rPr>
              <w:t>贷款笔数</w:t>
            </w:r>
          </w:p>
        </w:tc>
        <w:tc>
          <w:tcPr>
            <w:tcW w:w="16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76A32">
            <w:pPr>
              <w:jc w:val="center"/>
              <w:rPr>
                <w:rFonts w:ascii="Times New Roman" w:hAnsi="Times New Roman" w:eastAsia="楷体_GB2312"/>
                <w:sz w:val="16"/>
                <w:szCs w:val="16"/>
              </w:rPr>
            </w:pPr>
            <w:r>
              <w:rPr>
                <w:rFonts w:ascii="Times New Roman" w:hAnsi="Times New Roman" w:eastAsia="楷体_GB2312"/>
                <w:sz w:val="16"/>
                <w:szCs w:val="16"/>
              </w:rPr>
              <w:t>贷款笔数占比</w:t>
            </w:r>
          </w:p>
        </w:tc>
      </w:tr>
      <w:tr w14:paraId="6F75E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0E8ED91D">
            <w:pPr>
              <w:jc w:val="center"/>
              <w:textAlignment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192BE476">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43E83BD0">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3F4B7633">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4D0261FC">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203D4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19A37E7B">
            <w:pPr>
              <w:jc w:val="center"/>
              <w:textAlignment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3037F8A5">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6E4AA21D">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403A1A03">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1004B916">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57789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6AA1E844">
            <w:pPr>
              <w:jc w:val="center"/>
              <w:textAlignment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6058766E">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3CC45239">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52931CA3">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70BE8170">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009F2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488FA406">
            <w:pPr>
              <w:jc w:val="center"/>
              <w:textAlignment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4994518C">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5A0939C1">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2EF98F69">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36FF7102">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3A7C4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7498C9B8">
            <w:pPr>
              <w:jc w:val="center"/>
              <w:textAlignment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247F87A4">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4B835DE4">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09B5E054">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216BAA98">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56BDA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4C92DA6E">
            <w:pPr>
              <w:jc w:val="center"/>
              <w:textAlignment w:val="center"/>
              <w:rPr>
                <w:rFonts w:ascii="Times New Roman" w:hAnsi="Times New Roman" w:eastAsia="楷体_GB2312"/>
              </w:rPr>
            </w:pPr>
            <w:r>
              <w:rPr>
                <w:rFonts w:ascii="Times New Roman" w:hAnsi="Times New Roman" w:eastAsia="楷体_GB2312"/>
                <w:position w:val="-1"/>
                <w:sz w:val="16"/>
              </w:rPr>
              <w:t>合计</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38D27F2F">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7E660403">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2AB4F468">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7B11036F">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6C85E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878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F0FF7B">
            <w:pPr>
              <w:textAlignment w:val="center"/>
              <w:rPr>
                <w:rFonts w:ascii="Times New Roman" w:hAnsi="Times New Roman" w:eastAsia="楷体_GB2312"/>
                <w:sz w:val="16"/>
                <w:szCs w:val="16"/>
              </w:rPr>
            </w:pPr>
            <w:r>
              <w:rPr>
                <w:rFonts w:ascii="Times New Roman" w:hAnsi="Times New Roman" w:eastAsia="楷体_GB2312"/>
                <w:sz w:val="16"/>
                <w:szCs w:val="16"/>
              </w:rPr>
              <w:t>6.2.2 借款人年收入分布</w:t>
            </w:r>
          </w:p>
        </w:tc>
      </w:tr>
      <w:tr w14:paraId="3A7BF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112"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616895">
            <w:pPr>
              <w:jc w:val="center"/>
              <w:textAlignment w:val="center"/>
              <w:rPr>
                <w:rFonts w:ascii="Times New Roman" w:hAnsi="Times New Roman" w:eastAsia="楷体_GB2312"/>
                <w:sz w:val="16"/>
                <w:szCs w:val="16"/>
              </w:rPr>
            </w:pPr>
            <w:r>
              <w:rPr>
                <w:rFonts w:ascii="Times New Roman" w:hAnsi="Times New Roman" w:eastAsia="楷体_GB2312"/>
                <w:sz w:val="16"/>
                <w:szCs w:val="16"/>
              </w:rPr>
              <w:t>借款人年收入(元)</w:t>
            </w:r>
          </w:p>
        </w:tc>
        <w:tc>
          <w:tcPr>
            <w:tcW w:w="15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60FE4">
            <w:pPr>
              <w:jc w:val="center"/>
              <w:rPr>
                <w:rFonts w:ascii="Times New Roman" w:hAnsi="Times New Roman" w:eastAsia="楷体_GB2312"/>
                <w:sz w:val="16"/>
                <w:szCs w:val="16"/>
              </w:rPr>
            </w:pPr>
            <w:r>
              <w:rPr>
                <w:rFonts w:ascii="Times New Roman" w:hAnsi="Times New Roman" w:eastAsia="楷体_GB2312"/>
                <w:sz w:val="16"/>
                <w:szCs w:val="16"/>
              </w:rPr>
              <w:t>本金余额（万元）</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C9005">
            <w:pPr>
              <w:jc w:val="center"/>
              <w:rPr>
                <w:rFonts w:ascii="Times New Roman" w:hAnsi="Times New Roman" w:eastAsia="楷体_GB2312"/>
                <w:sz w:val="16"/>
                <w:szCs w:val="16"/>
              </w:rPr>
            </w:pPr>
            <w:r>
              <w:rPr>
                <w:rFonts w:ascii="Times New Roman" w:hAnsi="Times New Roman" w:eastAsia="楷体_GB2312"/>
                <w:sz w:val="16"/>
                <w:szCs w:val="16"/>
              </w:rPr>
              <w:t>本金余额占比</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DE2C4">
            <w:pPr>
              <w:jc w:val="center"/>
              <w:rPr>
                <w:rFonts w:ascii="Times New Roman" w:hAnsi="Times New Roman" w:eastAsia="楷体_GB2312"/>
                <w:sz w:val="16"/>
                <w:szCs w:val="16"/>
              </w:rPr>
            </w:pPr>
            <w:r>
              <w:rPr>
                <w:rFonts w:ascii="Times New Roman" w:hAnsi="Times New Roman" w:eastAsia="楷体_GB2312"/>
                <w:sz w:val="16"/>
                <w:szCs w:val="16"/>
              </w:rPr>
              <w:t>贷款笔数</w:t>
            </w:r>
          </w:p>
        </w:tc>
        <w:tc>
          <w:tcPr>
            <w:tcW w:w="16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12F9A">
            <w:pPr>
              <w:jc w:val="center"/>
              <w:rPr>
                <w:rFonts w:ascii="Times New Roman" w:hAnsi="Times New Roman" w:eastAsia="楷体_GB2312"/>
                <w:sz w:val="16"/>
                <w:szCs w:val="16"/>
              </w:rPr>
            </w:pPr>
            <w:r>
              <w:rPr>
                <w:rFonts w:ascii="Times New Roman" w:hAnsi="Times New Roman" w:eastAsia="楷体_GB2312"/>
                <w:sz w:val="16"/>
                <w:szCs w:val="16"/>
              </w:rPr>
              <w:t>贷款笔数占比</w:t>
            </w:r>
          </w:p>
        </w:tc>
      </w:tr>
      <w:tr w14:paraId="7BA5E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6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4179393A">
            <w:pPr>
              <w:jc w:val="center"/>
              <w:textAlignment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629542E8">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13349A25">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640A4B71">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79FD0B42">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67EC8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6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25CFB00C">
            <w:pPr>
              <w:jc w:val="center"/>
              <w:textAlignment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2BA17C20">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6D23A134">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0AEC2FF8">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21F8FC1C">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4E9F9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6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792EECAA">
            <w:pPr>
              <w:jc w:val="center"/>
              <w:textAlignment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183A3DAE">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0D5D02DF">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4443E381">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7B7B9211">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6D72C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6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5C7B2BD9">
            <w:pPr>
              <w:jc w:val="center"/>
              <w:textAlignment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7C4E02FD">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57D597F9">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3834133C">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40D2AE3A">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7766D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6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666AFBCC">
            <w:pPr>
              <w:jc w:val="center"/>
              <w:textAlignment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314AB087">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196308B5">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0751BD2E">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65D354BE">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419F5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6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406D2106">
            <w:pPr>
              <w:jc w:val="center"/>
              <w:textAlignment w:val="center"/>
              <w:rPr>
                <w:rFonts w:ascii="Times New Roman" w:hAnsi="Times New Roman" w:eastAsia="楷体_GB2312"/>
              </w:rPr>
            </w:pPr>
            <w:r>
              <w:rPr>
                <w:rFonts w:ascii="Times New Roman" w:hAnsi="Times New Roman" w:eastAsia="楷体_GB2312"/>
                <w:position w:val="-1"/>
                <w:sz w:val="16"/>
              </w:rPr>
              <w:t>[  ,  ）</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3598C69C">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410829EF">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713D98CD">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631BEEA6">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3B591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6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181A12A9">
            <w:pPr>
              <w:jc w:val="center"/>
              <w:textAlignment w:val="center"/>
              <w:rPr>
                <w:rFonts w:ascii="Times New Roman" w:hAnsi="Times New Roman" w:eastAsia="楷体_GB2312"/>
              </w:rPr>
            </w:pPr>
            <w:r>
              <w:rPr>
                <w:rFonts w:ascii="Times New Roman" w:hAnsi="Times New Roman" w:eastAsia="楷体_GB2312"/>
                <w:position w:val="-1"/>
                <w:sz w:val="16"/>
              </w:rPr>
              <w:t>合计</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3B4AA181">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3922AFF9">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02C5C2B2">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77CAD4F7">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431C7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878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07F3AF">
            <w:pPr>
              <w:rPr>
                <w:rFonts w:ascii="Times New Roman" w:hAnsi="Times New Roman" w:eastAsia="楷体_GB2312"/>
                <w:sz w:val="16"/>
                <w:szCs w:val="16"/>
              </w:rPr>
            </w:pPr>
            <w:r>
              <w:rPr>
                <w:rFonts w:ascii="Times New Roman" w:hAnsi="Times New Roman" w:eastAsia="楷体_GB2312"/>
                <w:sz w:val="16"/>
                <w:szCs w:val="16"/>
              </w:rPr>
              <w:t>6.2.3 借款人职业分布</w:t>
            </w:r>
          </w:p>
        </w:tc>
      </w:tr>
      <w:tr w14:paraId="75D03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4BD210">
            <w:pPr>
              <w:jc w:val="center"/>
              <w:textAlignment w:val="center"/>
              <w:rPr>
                <w:rFonts w:ascii="Times New Roman" w:hAnsi="Times New Roman" w:eastAsia="楷体_GB2312"/>
                <w:sz w:val="16"/>
                <w:szCs w:val="16"/>
              </w:rPr>
            </w:pPr>
            <w:r>
              <w:rPr>
                <w:rFonts w:ascii="Times New Roman" w:hAnsi="Times New Roman" w:eastAsia="楷体_GB2312"/>
                <w:sz w:val="16"/>
                <w:szCs w:val="16"/>
              </w:rPr>
              <w:t>借款人职业</w:t>
            </w:r>
          </w:p>
        </w:tc>
        <w:tc>
          <w:tcPr>
            <w:tcW w:w="15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67E0A">
            <w:pPr>
              <w:jc w:val="center"/>
              <w:rPr>
                <w:rFonts w:ascii="Times New Roman" w:hAnsi="Times New Roman" w:eastAsia="楷体_GB2312"/>
                <w:sz w:val="16"/>
                <w:szCs w:val="16"/>
              </w:rPr>
            </w:pPr>
            <w:r>
              <w:rPr>
                <w:rFonts w:ascii="Times New Roman" w:hAnsi="Times New Roman" w:eastAsia="楷体_GB2312"/>
                <w:sz w:val="16"/>
                <w:szCs w:val="16"/>
              </w:rPr>
              <w:t>本金余额（万元）</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E1162">
            <w:pPr>
              <w:jc w:val="center"/>
              <w:rPr>
                <w:rFonts w:ascii="Times New Roman" w:hAnsi="Times New Roman" w:eastAsia="楷体_GB2312"/>
                <w:sz w:val="16"/>
                <w:szCs w:val="16"/>
              </w:rPr>
            </w:pPr>
            <w:r>
              <w:rPr>
                <w:rFonts w:ascii="Times New Roman" w:hAnsi="Times New Roman" w:eastAsia="楷体_GB2312"/>
                <w:sz w:val="16"/>
                <w:szCs w:val="16"/>
              </w:rPr>
              <w:t>本金余额占比</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DCEF1">
            <w:pPr>
              <w:jc w:val="center"/>
              <w:rPr>
                <w:rFonts w:ascii="Times New Roman" w:hAnsi="Times New Roman" w:eastAsia="楷体_GB2312"/>
                <w:sz w:val="16"/>
                <w:szCs w:val="16"/>
              </w:rPr>
            </w:pPr>
            <w:r>
              <w:rPr>
                <w:rFonts w:ascii="Times New Roman" w:hAnsi="Times New Roman" w:eastAsia="楷体_GB2312"/>
                <w:sz w:val="16"/>
                <w:szCs w:val="16"/>
              </w:rPr>
              <w:t>贷款笔数</w:t>
            </w:r>
          </w:p>
        </w:tc>
        <w:tc>
          <w:tcPr>
            <w:tcW w:w="16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8D496">
            <w:pPr>
              <w:jc w:val="center"/>
              <w:rPr>
                <w:rFonts w:ascii="Times New Roman" w:hAnsi="Times New Roman" w:eastAsia="楷体_GB2312"/>
                <w:sz w:val="16"/>
                <w:szCs w:val="16"/>
              </w:rPr>
            </w:pPr>
            <w:r>
              <w:rPr>
                <w:rFonts w:ascii="Times New Roman" w:hAnsi="Times New Roman" w:eastAsia="楷体_GB2312"/>
                <w:sz w:val="16"/>
                <w:szCs w:val="16"/>
              </w:rPr>
              <w:t>贷款笔数占比</w:t>
            </w:r>
          </w:p>
        </w:tc>
      </w:tr>
      <w:tr w14:paraId="3C8C9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506459E4">
            <w:pPr>
              <w:jc w:val="center"/>
              <w:textAlignment w:val="center"/>
              <w:rPr>
                <w:rFonts w:ascii="Times New Roman" w:hAnsi="Times New Roman" w:eastAsia="楷体_GB2312"/>
                <w:sz w:val="16"/>
                <w:szCs w:val="16"/>
              </w:rPr>
            </w:pPr>
            <w:r>
              <w:rPr>
                <w:rFonts w:ascii="Times New Roman" w:hAnsi="Times New Roman" w:eastAsia="楷体_GB2312"/>
                <w:sz w:val="16"/>
                <w:szCs w:val="16"/>
              </w:rPr>
              <w:t>【】</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34D97218">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14FADCA3">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76EF0B7D">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4B98B60B">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39478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77E67F8D">
            <w:pPr>
              <w:jc w:val="center"/>
              <w:textAlignment w:val="center"/>
              <w:rPr>
                <w:rFonts w:ascii="Times New Roman" w:hAnsi="Times New Roman" w:eastAsia="楷体_GB2312"/>
                <w:sz w:val="16"/>
                <w:szCs w:val="16"/>
              </w:rPr>
            </w:pPr>
            <w:r>
              <w:rPr>
                <w:rFonts w:ascii="Times New Roman" w:hAnsi="Times New Roman" w:eastAsia="楷体_GB2312"/>
                <w:sz w:val="16"/>
                <w:szCs w:val="16"/>
              </w:rPr>
              <w:t>【】</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60B84014">
            <w:pPr>
              <w:ind w:left="105" w:leftChars="50" w:right="105" w:rightChars="50"/>
              <w:jc w:val="right"/>
              <w:rPr>
                <w:rFonts w:ascii="Times New Roman" w:hAnsi="Times New Roman" w:eastAsia="楷体_GB2312"/>
                <w:position w:val="-1"/>
                <w:sz w:val="16"/>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177F22D9">
            <w:pPr>
              <w:ind w:left="105" w:leftChars="50" w:right="105" w:rightChars="50"/>
              <w:jc w:val="right"/>
              <w:rPr>
                <w:rFonts w:ascii="Times New Roman" w:hAnsi="Times New Roman" w:eastAsia="楷体_GB2312"/>
                <w:position w:val="-1"/>
                <w:sz w:val="16"/>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0368A1AC">
            <w:pPr>
              <w:ind w:left="105" w:leftChars="50" w:right="105" w:rightChars="50"/>
              <w:jc w:val="right"/>
              <w:rPr>
                <w:rFonts w:ascii="Times New Roman" w:hAnsi="Times New Roman" w:eastAsia="楷体_GB2312"/>
                <w:position w:val="-1"/>
                <w:sz w:val="16"/>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600EF7DC">
            <w:pPr>
              <w:ind w:left="105" w:leftChars="50" w:right="105" w:rightChars="50"/>
              <w:jc w:val="right"/>
              <w:rPr>
                <w:rFonts w:ascii="Times New Roman" w:hAnsi="Times New Roman" w:eastAsia="楷体_GB2312"/>
                <w:position w:val="-1"/>
                <w:sz w:val="16"/>
              </w:rPr>
            </w:pPr>
            <w:r>
              <w:rPr>
                <w:rFonts w:ascii="Times New Roman" w:hAnsi="Times New Roman" w:eastAsia="楷体_GB2312"/>
                <w:color w:val="000000"/>
                <w:sz w:val="18"/>
                <w:szCs w:val="18"/>
              </w:rPr>
              <w:t>%</w:t>
            </w:r>
          </w:p>
        </w:tc>
      </w:tr>
      <w:tr w14:paraId="3F1C7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08BF08B7">
            <w:pPr>
              <w:jc w:val="center"/>
              <w:textAlignment w:val="center"/>
              <w:rPr>
                <w:rFonts w:ascii="Times New Roman" w:hAnsi="Times New Roman" w:eastAsia="楷体_GB2312"/>
              </w:rPr>
            </w:pPr>
            <w:r>
              <w:rPr>
                <w:rFonts w:ascii="Times New Roman" w:hAnsi="Times New Roman" w:eastAsia="楷体_GB2312"/>
                <w:position w:val="-1"/>
                <w:sz w:val="16"/>
              </w:rPr>
              <w:t>合计</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23BE00D7">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4B32FFF6">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7E92619F">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50B8081F">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2FB4F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878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B74A94">
            <w:pPr>
              <w:rPr>
                <w:rFonts w:ascii="Times New Roman" w:hAnsi="Times New Roman" w:eastAsia="楷体_GB2312"/>
                <w:sz w:val="16"/>
                <w:szCs w:val="16"/>
              </w:rPr>
            </w:pPr>
            <w:r>
              <w:rPr>
                <w:rFonts w:ascii="Times New Roman" w:hAnsi="Times New Roman" w:eastAsia="楷体_GB2312"/>
                <w:sz w:val="16"/>
                <w:szCs w:val="16"/>
              </w:rPr>
              <w:t>6.2.4借款人所在地区分布</w:t>
            </w:r>
          </w:p>
        </w:tc>
      </w:tr>
      <w:tr w14:paraId="65FAE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F69403">
            <w:pPr>
              <w:jc w:val="center"/>
              <w:textAlignment w:val="center"/>
              <w:rPr>
                <w:rFonts w:ascii="Times New Roman" w:hAnsi="Times New Roman" w:eastAsia="楷体_GB2312"/>
                <w:sz w:val="16"/>
                <w:szCs w:val="16"/>
              </w:rPr>
            </w:pPr>
            <w:r>
              <w:rPr>
                <w:rFonts w:ascii="Times New Roman" w:hAnsi="Times New Roman" w:eastAsia="楷体_GB2312"/>
                <w:sz w:val="16"/>
                <w:szCs w:val="16"/>
              </w:rPr>
              <w:t>借款人所在地区</w:t>
            </w:r>
          </w:p>
        </w:tc>
        <w:tc>
          <w:tcPr>
            <w:tcW w:w="15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90E15">
            <w:pPr>
              <w:jc w:val="center"/>
              <w:rPr>
                <w:rFonts w:ascii="Times New Roman" w:hAnsi="Times New Roman" w:eastAsia="楷体_GB2312"/>
                <w:sz w:val="16"/>
                <w:szCs w:val="16"/>
              </w:rPr>
            </w:pPr>
            <w:r>
              <w:rPr>
                <w:rFonts w:ascii="Times New Roman" w:hAnsi="Times New Roman" w:eastAsia="楷体_GB2312"/>
                <w:sz w:val="16"/>
                <w:szCs w:val="16"/>
              </w:rPr>
              <w:t>本金余额（万元）</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E110C">
            <w:pPr>
              <w:jc w:val="center"/>
              <w:rPr>
                <w:rFonts w:ascii="Times New Roman" w:hAnsi="Times New Roman" w:eastAsia="楷体_GB2312"/>
                <w:sz w:val="16"/>
                <w:szCs w:val="16"/>
              </w:rPr>
            </w:pPr>
            <w:r>
              <w:rPr>
                <w:rFonts w:ascii="Times New Roman" w:hAnsi="Times New Roman" w:eastAsia="楷体_GB2312"/>
                <w:sz w:val="16"/>
                <w:szCs w:val="16"/>
              </w:rPr>
              <w:t>本金余额占比</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0D5E6">
            <w:pPr>
              <w:jc w:val="center"/>
              <w:rPr>
                <w:rFonts w:ascii="Times New Roman" w:hAnsi="Times New Roman" w:eastAsia="楷体_GB2312"/>
                <w:sz w:val="16"/>
                <w:szCs w:val="16"/>
              </w:rPr>
            </w:pPr>
            <w:r>
              <w:rPr>
                <w:rFonts w:ascii="Times New Roman" w:hAnsi="Times New Roman" w:eastAsia="楷体_GB2312"/>
                <w:sz w:val="16"/>
                <w:szCs w:val="16"/>
              </w:rPr>
              <w:t>贷款笔数</w:t>
            </w:r>
          </w:p>
        </w:tc>
        <w:tc>
          <w:tcPr>
            <w:tcW w:w="16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A988B">
            <w:pPr>
              <w:jc w:val="center"/>
              <w:rPr>
                <w:rFonts w:ascii="Times New Roman" w:hAnsi="Times New Roman" w:eastAsia="楷体_GB2312"/>
                <w:sz w:val="16"/>
                <w:szCs w:val="16"/>
              </w:rPr>
            </w:pPr>
            <w:r>
              <w:rPr>
                <w:rFonts w:ascii="Times New Roman" w:hAnsi="Times New Roman" w:eastAsia="楷体_GB2312"/>
                <w:sz w:val="16"/>
                <w:szCs w:val="16"/>
              </w:rPr>
              <w:t>贷款笔数占比</w:t>
            </w:r>
          </w:p>
        </w:tc>
      </w:tr>
      <w:tr w14:paraId="7E2DF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66157AE5">
            <w:pPr>
              <w:jc w:val="center"/>
              <w:textAlignment w:val="center"/>
              <w:rPr>
                <w:rFonts w:ascii="Times New Roman" w:hAnsi="Times New Roman" w:eastAsia="楷体_GB2312"/>
              </w:rPr>
            </w:pPr>
            <w:r>
              <w:rPr>
                <w:rFonts w:ascii="Times New Roman" w:hAnsi="Times New Roman" w:eastAsia="楷体_GB2312"/>
                <w:position w:val="-1"/>
                <w:sz w:val="16"/>
              </w:rPr>
              <w:t>【】</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6118899E">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056457DB">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758B1DC9">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75028ED1">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6BD6A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43657DC5">
            <w:pPr>
              <w:jc w:val="center"/>
              <w:textAlignment w:val="center"/>
              <w:rPr>
                <w:rFonts w:ascii="Times New Roman" w:hAnsi="Times New Roman" w:eastAsia="等线"/>
                <w:position w:val="-1"/>
                <w:sz w:val="16"/>
              </w:rPr>
            </w:pPr>
            <w:r>
              <w:rPr>
                <w:rFonts w:ascii="Times New Roman" w:hAnsi="Times New Roman" w:eastAsia="楷体_GB2312"/>
                <w:position w:val="-1"/>
                <w:sz w:val="16"/>
              </w:rPr>
              <w:t>【】</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2796B7EC">
            <w:pPr>
              <w:ind w:left="105" w:leftChars="50" w:right="105" w:rightChars="50"/>
              <w:jc w:val="right"/>
              <w:rPr>
                <w:rFonts w:ascii="Times New Roman" w:hAnsi="Times New Roman" w:eastAsia="楷体_GB2312"/>
                <w:position w:val="-1"/>
                <w:sz w:val="16"/>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5C1AABE7">
            <w:pPr>
              <w:ind w:left="105" w:leftChars="50" w:right="105" w:rightChars="50"/>
              <w:jc w:val="right"/>
              <w:rPr>
                <w:rFonts w:ascii="Times New Roman" w:hAnsi="Times New Roman" w:eastAsia="楷体_GB2312"/>
                <w:position w:val="-1"/>
                <w:sz w:val="16"/>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0641AE97">
            <w:pPr>
              <w:ind w:left="105" w:leftChars="50" w:right="105" w:rightChars="50"/>
              <w:jc w:val="right"/>
              <w:rPr>
                <w:rFonts w:ascii="Times New Roman" w:hAnsi="Times New Roman" w:eastAsia="楷体_GB2312"/>
                <w:position w:val="-1"/>
                <w:sz w:val="16"/>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20D37906">
            <w:pPr>
              <w:ind w:left="105" w:leftChars="50" w:right="105" w:rightChars="50"/>
              <w:jc w:val="right"/>
              <w:rPr>
                <w:rFonts w:ascii="Times New Roman" w:hAnsi="Times New Roman" w:eastAsia="楷体_GB2312"/>
                <w:position w:val="-1"/>
                <w:sz w:val="16"/>
              </w:rPr>
            </w:pPr>
            <w:r>
              <w:rPr>
                <w:rFonts w:ascii="Times New Roman" w:hAnsi="Times New Roman" w:eastAsia="楷体_GB2312"/>
                <w:color w:val="000000"/>
                <w:sz w:val="18"/>
                <w:szCs w:val="18"/>
              </w:rPr>
              <w:t>%</w:t>
            </w:r>
          </w:p>
        </w:tc>
      </w:tr>
      <w:tr w14:paraId="6C9A4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25EE5DDF">
            <w:pPr>
              <w:jc w:val="center"/>
              <w:textAlignment w:val="center"/>
              <w:rPr>
                <w:rFonts w:ascii="Times New Roman" w:hAnsi="Times New Roman" w:eastAsia="楷体_GB2312"/>
              </w:rPr>
            </w:pPr>
            <w:r>
              <w:rPr>
                <w:rFonts w:ascii="Times New Roman" w:hAnsi="Times New Roman" w:eastAsia="楷体_GB2312"/>
                <w:position w:val="-1"/>
                <w:sz w:val="16"/>
              </w:rPr>
              <w:t>合计</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4493F892">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7BB3DA98">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3DD5E617">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51E8D759">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0C12A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878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991049">
            <w:pPr>
              <w:textAlignment w:val="center"/>
              <w:rPr>
                <w:rFonts w:ascii="Times New Roman" w:hAnsi="Times New Roman" w:eastAsia="楷体_GB2312"/>
                <w:sz w:val="16"/>
                <w:szCs w:val="16"/>
              </w:rPr>
            </w:pPr>
            <w:r>
              <w:rPr>
                <w:rFonts w:ascii="Times New Roman" w:hAnsi="Times New Roman" w:eastAsia="楷体_GB2312"/>
                <w:sz w:val="16"/>
                <w:szCs w:val="16"/>
              </w:rPr>
              <w:t>6.2.5 借款人信用等级分布</w:t>
            </w:r>
          </w:p>
        </w:tc>
      </w:tr>
      <w:tr w14:paraId="06DF3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29B7771">
            <w:pPr>
              <w:jc w:val="center"/>
              <w:textAlignment w:val="center"/>
              <w:rPr>
                <w:rFonts w:ascii="Times New Roman" w:hAnsi="Times New Roman" w:eastAsia="楷体_GB2312"/>
                <w:sz w:val="16"/>
                <w:szCs w:val="16"/>
              </w:rPr>
            </w:pPr>
            <w:r>
              <w:rPr>
                <w:rFonts w:ascii="Times New Roman" w:hAnsi="Times New Roman" w:eastAsia="楷体_GB2312"/>
                <w:sz w:val="16"/>
                <w:szCs w:val="16"/>
              </w:rPr>
              <w:t>借款人信用等级</w:t>
            </w:r>
          </w:p>
        </w:tc>
        <w:tc>
          <w:tcPr>
            <w:tcW w:w="15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2089C">
            <w:pPr>
              <w:jc w:val="center"/>
              <w:rPr>
                <w:rFonts w:ascii="Times New Roman" w:hAnsi="Times New Roman" w:eastAsia="楷体_GB2312"/>
                <w:sz w:val="16"/>
                <w:szCs w:val="16"/>
              </w:rPr>
            </w:pPr>
            <w:r>
              <w:rPr>
                <w:rFonts w:ascii="Times New Roman" w:hAnsi="Times New Roman" w:eastAsia="楷体_GB2312"/>
                <w:sz w:val="16"/>
                <w:szCs w:val="16"/>
              </w:rPr>
              <w:t>本金余额（万元）</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12B5A">
            <w:pPr>
              <w:jc w:val="center"/>
              <w:rPr>
                <w:rFonts w:ascii="Times New Roman" w:hAnsi="Times New Roman" w:eastAsia="楷体_GB2312"/>
                <w:sz w:val="16"/>
                <w:szCs w:val="16"/>
              </w:rPr>
            </w:pPr>
            <w:r>
              <w:rPr>
                <w:rFonts w:ascii="Times New Roman" w:hAnsi="Times New Roman" w:eastAsia="楷体_GB2312"/>
                <w:sz w:val="16"/>
                <w:szCs w:val="16"/>
              </w:rPr>
              <w:t>本金余额占比</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8FE00">
            <w:pPr>
              <w:jc w:val="center"/>
              <w:rPr>
                <w:rFonts w:ascii="Times New Roman" w:hAnsi="Times New Roman" w:eastAsia="楷体_GB2312"/>
                <w:sz w:val="16"/>
                <w:szCs w:val="16"/>
              </w:rPr>
            </w:pPr>
            <w:r>
              <w:rPr>
                <w:rFonts w:ascii="Times New Roman" w:hAnsi="Times New Roman" w:eastAsia="楷体_GB2312"/>
                <w:sz w:val="16"/>
                <w:szCs w:val="16"/>
              </w:rPr>
              <w:t>贷款笔数</w:t>
            </w:r>
          </w:p>
        </w:tc>
        <w:tc>
          <w:tcPr>
            <w:tcW w:w="16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52BD5">
            <w:pPr>
              <w:jc w:val="center"/>
              <w:rPr>
                <w:rFonts w:ascii="Times New Roman" w:hAnsi="Times New Roman" w:eastAsia="楷体_GB2312"/>
                <w:sz w:val="16"/>
                <w:szCs w:val="16"/>
              </w:rPr>
            </w:pPr>
            <w:r>
              <w:rPr>
                <w:rFonts w:ascii="Times New Roman" w:hAnsi="Times New Roman" w:eastAsia="楷体_GB2312"/>
                <w:sz w:val="16"/>
                <w:szCs w:val="16"/>
              </w:rPr>
              <w:t>贷款笔数占比</w:t>
            </w:r>
          </w:p>
        </w:tc>
      </w:tr>
      <w:tr w14:paraId="567FF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3C7A560F">
            <w:pPr>
              <w:jc w:val="center"/>
              <w:textAlignment w:val="center"/>
              <w:rPr>
                <w:rFonts w:ascii="Times New Roman" w:hAnsi="Times New Roman" w:eastAsia="楷体_GB2312"/>
              </w:rPr>
            </w:pPr>
            <w:r>
              <w:rPr>
                <w:rFonts w:ascii="Times New Roman" w:hAnsi="Times New Roman" w:eastAsia="楷体_GB2312"/>
                <w:position w:val="-1"/>
                <w:sz w:val="16"/>
              </w:rPr>
              <w:t>【】</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3C445D22">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25B5B978">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4798FB72">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52F32FDC">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1F1B7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062F7F38">
            <w:pPr>
              <w:jc w:val="center"/>
              <w:textAlignment w:val="center"/>
              <w:rPr>
                <w:rFonts w:ascii="Times New Roman" w:hAnsi="Times New Roman" w:eastAsia="楷体_GB2312"/>
              </w:rPr>
            </w:pPr>
            <w:r>
              <w:rPr>
                <w:rFonts w:ascii="Times New Roman" w:hAnsi="Times New Roman" w:eastAsia="楷体_GB2312"/>
                <w:position w:val="-1"/>
                <w:sz w:val="16"/>
              </w:rPr>
              <w:t>【】</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67303A85">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4041DC7A">
            <w:pPr>
              <w:wordWrap w:val="0"/>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39B41E32">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4DF730E4">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686FA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7B5795CA">
            <w:pPr>
              <w:jc w:val="center"/>
              <w:textAlignment w:val="center"/>
              <w:rPr>
                <w:rFonts w:ascii="Times New Roman" w:hAnsi="Times New Roman" w:eastAsia="楷体_GB2312"/>
              </w:rPr>
            </w:pPr>
            <w:r>
              <w:rPr>
                <w:rFonts w:ascii="Times New Roman" w:hAnsi="Times New Roman" w:eastAsia="楷体_GB2312"/>
                <w:position w:val="-1"/>
                <w:sz w:val="16"/>
              </w:rPr>
              <w:t>【】</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6A1A6622">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11CD1B05">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04923B2E">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78F4F533">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5D5BF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1F525BF4">
            <w:pPr>
              <w:jc w:val="center"/>
              <w:textAlignment w:val="center"/>
              <w:rPr>
                <w:rFonts w:ascii="Times New Roman" w:hAnsi="Times New Roman" w:eastAsia="楷体_GB2312"/>
              </w:rPr>
            </w:pPr>
            <w:r>
              <w:rPr>
                <w:rFonts w:ascii="Times New Roman" w:hAnsi="Times New Roman" w:eastAsia="楷体_GB2312"/>
                <w:position w:val="-1"/>
                <w:sz w:val="16"/>
              </w:rPr>
              <w:t>【】</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359E6E9E">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1A06681C">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02D4C34E">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3755459A">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7487B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2CF6F172">
            <w:pPr>
              <w:jc w:val="center"/>
              <w:textAlignment w:val="center"/>
              <w:rPr>
                <w:rFonts w:ascii="Times New Roman" w:hAnsi="Times New Roman" w:eastAsia="楷体_GB2312"/>
              </w:rPr>
            </w:pPr>
            <w:r>
              <w:rPr>
                <w:rFonts w:ascii="Times New Roman" w:hAnsi="Times New Roman" w:eastAsia="楷体_GB2312"/>
                <w:position w:val="-1"/>
                <w:sz w:val="16"/>
              </w:rPr>
              <w:t>【】</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18997729">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527D2414">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25DDF859">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4F8D2315">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624BD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14B7F38C">
            <w:pPr>
              <w:jc w:val="center"/>
              <w:textAlignment w:val="center"/>
              <w:rPr>
                <w:rFonts w:ascii="Times New Roman" w:hAnsi="Times New Roman" w:eastAsia="楷体_GB2312"/>
              </w:rPr>
            </w:pPr>
            <w:r>
              <w:rPr>
                <w:rFonts w:ascii="Times New Roman" w:hAnsi="Times New Roman" w:eastAsia="楷体_GB2312"/>
                <w:position w:val="-1"/>
                <w:sz w:val="16"/>
              </w:rPr>
              <w:t>【】</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7006F03D">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553B3EB5">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5CE18AFB">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539DA83B">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5684B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11DB1864">
            <w:pPr>
              <w:jc w:val="center"/>
              <w:textAlignment w:val="center"/>
              <w:rPr>
                <w:rFonts w:ascii="Times New Roman" w:hAnsi="Times New Roman" w:eastAsia="楷体_GB2312"/>
              </w:rPr>
            </w:pPr>
            <w:r>
              <w:rPr>
                <w:rFonts w:ascii="Times New Roman" w:hAnsi="Times New Roman" w:eastAsia="楷体_GB2312"/>
                <w:position w:val="-1"/>
                <w:sz w:val="16"/>
              </w:rPr>
              <w:t>【】</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1D4381E2">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41DA6E81">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73CE1590">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441E3930">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r w14:paraId="06F14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rPr>
          <w:trHeight w:val="50" w:hRule="atLeast"/>
        </w:trPr>
        <w:tc>
          <w:tcPr>
            <w:tcW w:w="2506" w:type="dxa"/>
            <w:tcBorders>
              <w:top w:val="single" w:color="000000" w:sz="4" w:space="0"/>
              <w:left w:val="single" w:color="000000" w:sz="4" w:space="0"/>
              <w:bottom w:val="single" w:color="000000" w:sz="4" w:space="0"/>
              <w:right w:val="single" w:color="000000" w:sz="4" w:space="0"/>
            </w:tcBorders>
            <w:shd w:val="clear" w:color="auto" w:fill="auto"/>
          </w:tcPr>
          <w:p w14:paraId="3C054A28">
            <w:pPr>
              <w:jc w:val="center"/>
              <w:textAlignment w:val="center"/>
              <w:rPr>
                <w:rFonts w:ascii="Times New Roman" w:hAnsi="Times New Roman" w:eastAsia="楷体_GB2312"/>
              </w:rPr>
            </w:pPr>
            <w:r>
              <w:rPr>
                <w:rFonts w:ascii="Times New Roman" w:hAnsi="Times New Roman" w:eastAsia="楷体_GB2312"/>
                <w:position w:val="-1"/>
                <w:sz w:val="16"/>
              </w:rPr>
              <w:t>合计</w:t>
            </w:r>
          </w:p>
        </w:tc>
        <w:tc>
          <w:tcPr>
            <w:tcW w:w="1572" w:type="dxa"/>
            <w:tcBorders>
              <w:top w:val="single" w:color="000000" w:sz="4" w:space="0"/>
              <w:left w:val="single" w:color="000000" w:sz="4" w:space="0"/>
              <w:bottom w:val="single" w:color="000000" w:sz="4" w:space="0"/>
              <w:right w:val="single" w:color="000000" w:sz="4" w:space="0"/>
            </w:tcBorders>
            <w:shd w:val="clear" w:color="auto" w:fill="auto"/>
          </w:tcPr>
          <w:p w14:paraId="31FAC11D">
            <w:pPr>
              <w:ind w:left="105" w:leftChars="50" w:right="105" w:rightChars="50"/>
              <w:jc w:val="right"/>
              <w:rPr>
                <w:rFonts w:ascii="Times New Roman" w:hAnsi="Times New Roman" w:eastAsia="楷体_GB2312"/>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Pr>
          <w:p w14:paraId="7BCF548A">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Pr>
          <w:p w14:paraId="5BEB3E9F">
            <w:pPr>
              <w:ind w:left="105" w:leftChars="50" w:right="105" w:rightChars="50"/>
              <w:jc w:val="right"/>
              <w:rPr>
                <w:rFonts w:ascii="Times New Roman" w:hAnsi="Times New Roman" w:eastAsia="楷体_GB231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tcPr>
          <w:p w14:paraId="6ACE49C7">
            <w:pPr>
              <w:ind w:left="105" w:leftChars="50" w:right="105" w:rightChars="50"/>
              <w:jc w:val="right"/>
              <w:rPr>
                <w:rFonts w:ascii="Times New Roman" w:hAnsi="Times New Roman" w:eastAsia="楷体_GB2312"/>
              </w:rPr>
            </w:pPr>
            <w:r>
              <w:rPr>
                <w:rFonts w:ascii="Times New Roman" w:hAnsi="Times New Roman" w:eastAsia="楷体_GB2312"/>
                <w:color w:val="000000"/>
                <w:sz w:val="18"/>
                <w:szCs w:val="18"/>
              </w:rPr>
              <w:t>%</w:t>
            </w:r>
          </w:p>
        </w:tc>
      </w:tr>
    </w:tbl>
    <w:p w14:paraId="71243292">
      <w:pPr>
        <w:rPr>
          <w:rFonts w:ascii="Times New Roman" w:hAnsi="Times New Roman" w:eastAsia="华文楷体"/>
        </w:rPr>
      </w:pPr>
      <w:r>
        <w:rPr>
          <w:rFonts w:ascii="Times New Roman" w:hAnsi="Times New Roman" w:eastAsia="楷体_GB2312"/>
          <w:b/>
          <w:sz w:val="28"/>
        </w:rPr>
        <w:br w:type="page"/>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4"/>
        <w:gridCol w:w="1313"/>
        <w:gridCol w:w="316"/>
        <w:gridCol w:w="2925"/>
        <w:gridCol w:w="2652"/>
      </w:tblGrid>
      <w:tr w14:paraId="15AE8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0" w:type="dxa"/>
            <w:gridSpan w:val="5"/>
            <w:tcBorders>
              <w:bottom w:val="single" w:color="auto" w:sz="4" w:space="0"/>
            </w:tcBorders>
          </w:tcPr>
          <w:p w14:paraId="14B5095F">
            <w:pPr>
              <w:spacing w:line="380" w:lineRule="atLeast"/>
              <w:jc w:val="center"/>
              <w:rPr>
                <w:rFonts w:ascii="Times New Roman" w:hAnsi="Times New Roman" w:eastAsia="华文楷体"/>
                <w:b/>
                <w:sz w:val="28"/>
              </w:rPr>
            </w:pPr>
            <w:r>
              <w:rPr>
                <w:rFonts w:ascii="Times New Roman" w:hAnsi="Times New Roman" w:eastAsia="华文楷体"/>
                <w:b/>
                <w:sz w:val="28"/>
              </w:rPr>
              <w:t>【信托名称】</w:t>
            </w:r>
          </w:p>
          <w:p w14:paraId="00353E95">
            <w:pPr>
              <w:spacing w:line="380" w:lineRule="atLeast"/>
              <w:jc w:val="center"/>
              <w:rPr>
                <w:rFonts w:ascii="Times New Roman" w:hAnsi="Times New Roman" w:eastAsia="楷体_GB2312"/>
                <w:b/>
              </w:rPr>
            </w:pPr>
            <w:r>
              <w:rPr>
                <w:rFonts w:ascii="Times New Roman" w:hAnsi="Times New Roman" w:eastAsia="华文楷体"/>
                <w:b/>
                <w:sz w:val="28"/>
              </w:rPr>
              <w:t>受托机构月度/年度报告</w:t>
            </w:r>
          </w:p>
        </w:tc>
      </w:tr>
      <w:tr w14:paraId="5CC93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0" w:type="dxa"/>
            <w:gridSpan w:val="5"/>
            <w:tcBorders>
              <w:top w:val="single" w:color="auto" w:sz="4" w:space="0"/>
              <w:bottom w:val="nil"/>
            </w:tcBorders>
          </w:tcPr>
          <w:p w14:paraId="64B1E286">
            <w:pPr>
              <w:spacing w:line="380" w:lineRule="atLeast"/>
              <w:rPr>
                <w:rFonts w:ascii="Times New Roman" w:hAnsi="Times New Roman" w:eastAsia="楷体_GB2312"/>
                <w:b/>
              </w:rPr>
            </w:pPr>
            <w:r>
              <w:rPr>
                <w:rFonts w:ascii="Times New Roman" w:hAnsi="Times New Roman" w:eastAsia="楷体_GB2312"/>
                <w:b/>
              </w:rPr>
              <w:t>五、本期资产支持证券内外部信用增级情况如下：</w:t>
            </w:r>
          </w:p>
          <w:p w14:paraId="174C14DE">
            <w:pPr>
              <w:spacing w:line="380" w:lineRule="atLeast"/>
              <w:rPr>
                <w:rFonts w:ascii="Times New Roman" w:hAnsi="Times New Roman" w:eastAsia="楷体_GB2312"/>
              </w:rPr>
            </w:pPr>
            <w:r>
              <w:rPr>
                <w:rFonts w:ascii="Times New Roman" w:hAnsi="Times New Roman" w:eastAsia="楷体_GB2312"/>
              </w:rPr>
              <w:t>本次交易通过设定优先级</w:t>
            </w:r>
            <w:r>
              <w:rPr>
                <w:rFonts w:ascii="Times New Roman" w:hAnsi="Times New Roman" w:eastAsia="楷体_GB2312"/>
                <w:b/>
              </w:rPr>
              <w:t>/</w:t>
            </w:r>
            <w:r>
              <w:rPr>
                <w:rFonts w:ascii="Times New Roman" w:hAnsi="Times New Roman" w:eastAsia="楷体_GB2312"/>
              </w:rPr>
              <w:t>次级资产支持证券的结构实现信用增级：</w:t>
            </w:r>
          </w:p>
        </w:tc>
      </w:tr>
      <w:tr w14:paraId="0DDE8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0" w:type="dxa"/>
            <w:gridSpan w:val="5"/>
            <w:tcBorders>
              <w:top w:val="nil"/>
              <w:left w:val="single" w:color="auto" w:sz="4" w:space="0"/>
              <w:bottom w:val="nil"/>
              <w:right w:val="single" w:color="auto" w:sz="4" w:space="0"/>
            </w:tcBorders>
          </w:tcPr>
          <w:p w14:paraId="2EDDCBC1">
            <w:pPr>
              <w:spacing w:line="380" w:lineRule="atLeast"/>
              <w:rPr>
                <w:rFonts w:ascii="Times New Roman" w:hAnsi="Times New Roman" w:eastAsia="楷体_GB2312"/>
              </w:rPr>
            </w:pPr>
            <w:r>
              <w:rPr>
                <w:rFonts w:ascii="Times New Roman" w:hAnsi="Times New Roman" w:eastAsia="楷体_GB2312"/>
              </w:rPr>
              <w:t>资产支持证券分层结构情况</w:t>
            </w:r>
          </w:p>
        </w:tc>
      </w:tr>
      <w:tr w14:paraId="5669A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gridSpan w:val="3"/>
            <w:tcBorders>
              <w:top w:val="nil"/>
              <w:left w:val="single" w:color="auto" w:sz="4" w:space="0"/>
              <w:bottom w:val="single" w:color="auto" w:sz="4" w:space="0"/>
              <w:right w:val="nil"/>
            </w:tcBorders>
          </w:tcPr>
          <w:p w14:paraId="2CCA7460">
            <w:pPr>
              <w:spacing w:line="380" w:lineRule="atLeast"/>
              <w:rPr>
                <w:rFonts w:ascii="Times New Roman" w:hAnsi="Times New Roman" w:eastAsia="楷体_GB2312"/>
                <w:sz w:val="18"/>
                <w:szCs w:val="18"/>
              </w:rPr>
            </w:pPr>
          </w:p>
        </w:tc>
        <w:tc>
          <w:tcPr>
            <w:tcW w:w="2925" w:type="dxa"/>
            <w:tcBorders>
              <w:top w:val="nil"/>
              <w:left w:val="nil"/>
              <w:bottom w:val="single" w:color="auto" w:sz="4" w:space="0"/>
              <w:right w:val="nil"/>
            </w:tcBorders>
          </w:tcPr>
          <w:p w14:paraId="6DDF48CF">
            <w:pPr>
              <w:spacing w:line="380" w:lineRule="atLeast"/>
              <w:jc w:val="center"/>
              <w:rPr>
                <w:rFonts w:ascii="Times New Roman" w:hAnsi="Times New Roman" w:eastAsia="楷体_GB2312"/>
                <w:sz w:val="18"/>
                <w:szCs w:val="18"/>
              </w:rPr>
            </w:pPr>
            <w:r>
              <w:rPr>
                <w:rFonts w:ascii="Times New Roman" w:hAnsi="Times New Roman" w:eastAsia="楷体_GB2312"/>
                <w:sz w:val="18"/>
                <w:szCs w:val="18"/>
              </w:rPr>
              <w:t>本金期末余额</w:t>
            </w:r>
          </w:p>
        </w:tc>
        <w:tc>
          <w:tcPr>
            <w:tcW w:w="2652" w:type="dxa"/>
            <w:tcBorders>
              <w:top w:val="nil"/>
              <w:left w:val="nil"/>
              <w:bottom w:val="single" w:color="auto" w:sz="4" w:space="0"/>
              <w:right w:val="single" w:color="auto" w:sz="4" w:space="0"/>
            </w:tcBorders>
          </w:tcPr>
          <w:p w14:paraId="29F92769">
            <w:pPr>
              <w:spacing w:line="380" w:lineRule="atLeast"/>
              <w:rPr>
                <w:rFonts w:ascii="Times New Roman" w:hAnsi="Times New Roman" w:eastAsia="楷体_GB2312"/>
                <w:sz w:val="18"/>
                <w:szCs w:val="18"/>
              </w:rPr>
            </w:pPr>
            <w:r>
              <w:rPr>
                <w:rFonts w:ascii="Times New Roman" w:hAnsi="Times New Roman" w:eastAsia="楷体_GB2312"/>
                <w:sz w:val="18"/>
                <w:szCs w:val="18"/>
              </w:rPr>
              <w:t>占本金总金额的百分比</w:t>
            </w:r>
          </w:p>
        </w:tc>
      </w:tr>
      <w:tr w14:paraId="36795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314" w:type="dxa"/>
            <w:vMerge w:val="restart"/>
            <w:tcBorders>
              <w:top w:val="single" w:color="auto" w:sz="4" w:space="0"/>
              <w:left w:val="single" w:color="auto" w:sz="4" w:space="0"/>
              <w:bottom w:val="single" w:color="auto" w:sz="4" w:space="0"/>
              <w:right w:val="nil"/>
            </w:tcBorders>
          </w:tcPr>
          <w:p w14:paraId="2DD9065D">
            <w:pPr>
              <w:spacing w:line="380" w:lineRule="atLeast"/>
              <w:rPr>
                <w:rFonts w:ascii="Times New Roman" w:hAnsi="Times New Roman" w:eastAsia="楷体_GB2312"/>
                <w:sz w:val="18"/>
                <w:szCs w:val="18"/>
              </w:rPr>
            </w:pPr>
            <w:r>
              <w:rPr>
                <w:rFonts w:ascii="Times New Roman" w:hAnsi="Times New Roman" w:eastAsia="楷体_GB2312"/>
                <w:sz w:val="18"/>
                <w:szCs w:val="18"/>
              </w:rPr>
              <w:t>优先级资产支持证券</w:t>
            </w:r>
          </w:p>
        </w:tc>
        <w:tc>
          <w:tcPr>
            <w:tcW w:w="1629" w:type="dxa"/>
            <w:gridSpan w:val="2"/>
            <w:tcBorders>
              <w:top w:val="single" w:color="auto" w:sz="4" w:space="0"/>
              <w:left w:val="nil"/>
              <w:bottom w:val="single" w:color="auto" w:sz="4" w:space="0"/>
              <w:right w:val="nil"/>
            </w:tcBorders>
          </w:tcPr>
          <w:p w14:paraId="79D5F047">
            <w:pPr>
              <w:spacing w:line="380" w:lineRule="atLeast"/>
              <w:rPr>
                <w:rFonts w:ascii="Times New Roman" w:hAnsi="Times New Roman" w:eastAsia="楷体_GB2312"/>
                <w:sz w:val="18"/>
                <w:szCs w:val="18"/>
              </w:rPr>
            </w:pPr>
            <w:r>
              <w:rPr>
                <w:rFonts w:ascii="Times New Roman" w:hAnsi="Times New Roman" w:eastAsia="楷体_GB2312"/>
                <w:sz w:val="18"/>
                <w:szCs w:val="18"/>
              </w:rPr>
              <w:t>优先A级资产支持证券</w:t>
            </w:r>
          </w:p>
        </w:tc>
        <w:tc>
          <w:tcPr>
            <w:tcW w:w="2925" w:type="dxa"/>
            <w:tcBorders>
              <w:top w:val="single" w:color="auto" w:sz="4" w:space="0"/>
              <w:left w:val="nil"/>
              <w:bottom w:val="single" w:color="auto" w:sz="4" w:space="0"/>
              <w:right w:val="nil"/>
            </w:tcBorders>
          </w:tcPr>
          <w:p w14:paraId="1F6FD379">
            <w:pPr>
              <w:spacing w:line="380" w:lineRule="atLeast"/>
              <w:rPr>
                <w:rFonts w:ascii="Times New Roman" w:hAnsi="Times New Roman" w:eastAsia="楷体_GB2312"/>
                <w:sz w:val="18"/>
                <w:szCs w:val="18"/>
              </w:rPr>
            </w:pPr>
          </w:p>
        </w:tc>
        <w:tc>
          <w:tcPr>
            <w:tcW w:w="2652" w:type="dxa"/>
            <w:tcBorders>
              <w:top w:val="single" w:color="auto" w:sz="4" w:space="0"/>
              <w:left w:val="nil"/>
              <w:bottom w:val="single" w:color="auto" w:sz="4" w:space="0"/>
              <w:right w:val="single" w:color="auto" w:sz="4" w:space="0"/>
            </w:tcBorders>
          </w:tcPr>
          <w:p w14:paraId="20109037">
            <w:pPr>
              <w:spacing w:line="380" w:lineRule="atLeast"/>
              <w:rPr>
                <w:rFonts w:ascii="Times New Roman" w:hAnsi="Times New Roman" w:eastAsia="楷体_GB2312"/>
                <w:sz w:val="18"/>
                <w:szCs w:val="18"/>
              </w:rPr>
            </w:pPr>
          </w:p>
        </w:tc>
      </w:tr>
      <w:tr w14:paraId="399A9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314" w:type="dxa"/>
            <w:vMerge w:val="continue"/>
            <w:tcBorders>
              <w:top w:val="single" w:color="auto" w:sz="4" w:space="0"/>
              <w:left w:val="single" w:color="auto" w:sz="4" w:space="0"/>
              <w:bottom w:val="single" w:color="auto" w:sz="4" w:space="0"/>
              <w:right w:val="nil"/>
            </w:tcBorders>
          </w:tcPr>
          <w:p w14:paraId="69126629">
            <w:pPr>
              <w:spacing w:line="380" w:lineRule="atLeast"/>
              <w:rPr>
                <w:rFonts w:ascii="Times New Roman" w:hAnsi="Times New Roman" w:eastAsia="楷体_GB2312"/>
                <w:sz w:val="18"/>
                <w:szCs w:val="18"/>
              </w:rPr>
            </w:pPr>
          </w:p>
        </w:tc>
        <w:tc>
          <w:tcPr>
            <w:tcW w:w="1629" w:type="dxa"/>
            <w:gridSpan w:val="2"/>
            <w:tcBorders>
              <w:top w:val="single" w:color="auto" w:sz="4" w:space="0"/>
              <w:left w:val="nil"/>
              <w:bottom w:val="single" w:color="auto" w:sz="4" w:space="0"/>
              <w:right w:val="nil"/>
            </w:tcBorders>
          </w:tcPr>
          <w:p w14:paraId="01E6174D">
            <w:pPr>
              <w:spacing w:line="380" w:lineRule="atLeast"/>
              <w:rPr>
                <w:rFonts w:ascii="Times New Roman" w:hAnsi="Times New Roman" w:eastAsia="楷体_GB2312"/>
                <w:sz w:val="18"/>
                <w:szCs w:val="18"/>
              </w:rPr>
            </w:pPr>
            <w:r>
              <w:rPr>
                <w:rFonts w:ascii="Times New Roman" w:hAnsi="Times New Roman" w:eastAsia="楷体_GB2312"/>
                <w:sz w:val="18"/>
                <w:szCs w:val="18"/>
              </w:rPr>
              <w:t>优先B级资产支持证券</w:t>
            </w:r>
          </w:p>
        </w:tc>
        <w:tc>
          <w:tcPr>
            <w:tcW w:w="2925" w:type="dxa"/>
            <w:tcBorders>
              <w:top w:val="single" w:color="auto" w:sz="4" w:space="0"/>
              <w:left w:val="nil"/>
              <w:bottom w:val="single" w:color="auto" w:sz="4" w:space="0"/>
              <w:right w:val="nil"/>
            </w:tcBorders>
          </w:tcPr>
          <w:p w14:paraId="7318A7BB">
            <w:pPr>
              <w:spacing w:line="380" w:lineRule="atLeast"/>
              <w:rPr>
                <w:rFonts w:ascii="Times New Roman" w:hAnsi="Times New Roman" w:eastAsia="楷体_GB2312"/>
                <w:sz w:val="18"/>
                <w:szCs w:val="18"/>
              </w:rPr>
            </w:pPr>
          </w:p>
        </w:tc>
        <w:tc>
          <w:tcPr>
            <w:tcW w:w="2652" w:type="dxa"/>
            <w:tcBorders>
              <w:top w:val="single" w:color="auto" w:sz="4" w:space="0"/>
              <w:left w:val="nil"/>
              <w:bottom w:val="single" w:color="auto" w:sz="4" w:space="0"/>
              <w:right w:val="single" w:color="auto" w:sz="4" w:space="0"/>
            </w:tcBorders>
          </w:tcPr>
          <w:p w14:paraId="13E7AB12">
            <w:pPr>
              <w:spacing w:line="380" w:lineRule="atLeast"/>
              <w:rPr>
                <w:rFonts w:ascii="Times New Roman" w:hAnsi="Times New Roman" w:eastAsia="楷体_GB2312"/>
                <w:sz w:val="18"/>
                <w:szCs w:val="18"/>
              </w:rPr>
            </w:pPr>
          </w:p>
        </w:tc>
      </w:tr>
      <w:tr w14:paraId="4AE57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7" w:type="dxa"/>
            <w:gridSpan w:val="2"/>
            <w:tcBorders>
              <w:top w:val="single" w:color="auto" w:sz="4" w:space="0"/>
              <w:left w:val="single" w:color="auto" w:sz="4" w:space="0"/>
              <w:bottom w:val="single" w:color="auto" w:sz="4" w:space="0"/>
              <w:right w:val="nil"/>
            </w:tcBorders>
          </w:tcPr>
          <w:p w14:paraId="7BD04F60">
            <w:pPr>
              <w:spacing w:line="380" w:lineRule="atLeast"/>
              <w:rPr>
                <w:rFonts w:ascii="Times New Roman" w:hAnsi="Times New Roman" w:eastAsia="楷体_GB2312"/>
                <w:sz w:val="18"/>
                <w:szCs w:val="18"/>
              </w:rPr>
            </w:pPr>
            <w:r>
              <w:rPr>
                <w:rFonts w:ascii="Times New Roman" w:hAnsi="Times New Roman" w:eastAsia="楷体_GB2312"/>
                <w:sz w:val="18"/>
                <w:szCs w:val="18"/>
              </w:rPr>
              <w:t>次级资产支持证券</w:t>
            </w:r>
          </w:p>
        </w:tc>
        <w:tc>
          <w:tcPr>
            <w:tcW w:w="3241" w:type="dxa"/>
            <w:gridSpan w:val="2"/>
            <w:tcBorders>
              <w:top w:val="single" w:color="auto" w:sz="4" w:space="0"/>
              <w:left w:val="nil"/>
              <w:bottom w:val="single" w:color="auto" w:sz="4" w:space="0"/>
              <w:right w:val="nil"/>
            </w:tcBorders>
          </w:tcPr>
          <w:p w14:paraId="01820F30">
            <w:pPr>
              <w:spacing w:line="380" w:lineRule="atLeast"/>
              <w:rPr>
                <w:rFonts w:ascii="Times New Roman" w:hAnsi="Times New Roman" w:eastAsia="楷体_GB2312"/>
                <w:sz w:val="18"/>
                <w:szCs w:val="18"/>
              </w:rPr>
            </w:pPr>
          </w:p>
        </w:tc>
        <w:tc>
          <w:tcPr>
            <w:tcW w:w="2652" w:type="dxa"/>
            <w:tcBorders>
              <w:top w:val="single" w:color="auto" w:sz="4" w:space="0"/>
              <w:left w:val="nil"/>
              <w:bottom w:val="single" w:color="auto" w:sz="4" w:space="0"/>
              <w:right w:val="single" w:color="auto" w:sz="4" w:space="0"/>
            </w:tcBorders>
          </w:tcPr>
          <w:p w14:paraId="758D5AE8">
            <w:pPr>
              <w:spacing w:line="380" w:lineRule="atLeast"/>
              <w:rPr>
                <w:rFonts w:ascii="Times New Roman" w:hAnsi="Times New Roman" w:eastAsia="楷体_GB2312"/>
                <w:sz w:val="18"/>
                <w:szCs w:val="18"/>
              </w:rPr>
            </w:pPr>
          </w:p>
        </w:tc>
      </w:tr>
      <w:tr w14:paraId="74B4E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7" w:type="dxa"/>
            <w:gridSpan w:val="2"/>
            <w:tcBorders>
              <w:top w:val="nil"/>
              <w:left w:val="single" w:color="auto" w:sz="4" w:space="0"/>
              <w:bottom w:val="single" w:color="auto" w:sz="4" w:space="0"/>
              <w:right w:val="nil"/>
            </w:tcBorders>
          </w:tcPr>
          <w:p w14:paraId="604CECC4">
            <w:pPr>
              <w:tabs>
                <w:tab w:val="left" w:pos="555"/>
              </w:tabs>
              <w:spacing w:line="380" w:lineRule="atLeast"/>
              <w:rPr>
                <w:rFonts w:ascii="Times New Roman" w:hAnsi="Times New Roman" w:eastAsia="楷体_GB2312"/>
                <w:sz w:val="18"/>
                <w:szCs w:val="18"/>
              </w:rPr>
            </w:pPr>
            <w:r>
              <w:rPr>
                <w:rFonts w:ascii="Times New Roman" w:hAnsi="Times New Roman" w:eastAsia="楷体_GB2312"/>
                <w:sz w:val="18"/>
                <w:szCs w:val="18"/>
              </w:rPr>
              <w:t>合计</w:t>
            </w:r>
          </w:p>
        </w:tc>
        <w:tc>
          <w:tcPr>
            <w:tcW w:w="3241" w:type="dxa"/>
            <w:gridSpan w:val="2"/>
            <w:tcBorders>
              <w:top w:val="nil"/>
              <w:left w:val="nil"/>
              <w:bottom w:val="single" w:color="auto" w:sz="4" w:space="0"/>
              <w:right w:val="nil"/>
            </w:tcBorders>
          </w:tcPr>
          <w:p w14:paraId="0223F75E">
            <w:pPr>
              <w:spacing w:line="380" w:lineRule="atLeast"/>
              <w:rPr>
                <w:rFonts w:ascii="Times New Roman" w:hAnsi="Times New Roman" w:eastAsia="楷体_GB2312"/>
                <w:sz w:val="18"/>
                <w:szCs w:val="18"/>
              </w:rPr>
            </w:pPr>
          </w:p>
        </w:tc>
        <w:tc>
          <w:tcPr>
            <w:tcW w:w="2652" w:type="dxa"/>
            <w:tcBorders>
              <w:top w:val="nil"/>
              <w:left w:val="nil"/>
              <w:bottom w:val="single" w:color="auto" w:sz="4" w:space="0"/>
              <w:right w:val="single" w:color="auto" w:sz="4" w:space="0"/>
            </w:tcBorders>
          </w:tcPr>
          <w:p w14:paraId="38D594A9">
            <w:pPr>
              <w:spacing w:line="380" w:lineRule="atLeast"/>
              <w:rPr>
                <w:rFonts w:ascii="Times New Roman" w:hAnsi="Times New Roman" w:eastAsia="楷体_GB2312"/>
                <w:sz w:val="18"/>
                <w:szCs w:val="18"/>
              </w:rPr>
            </w:pPr>
          </w:p>
        </w:tc>
      </w:tr>
      <w:tr w14:paraId="63BA2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627" w:type="dxa"/>
            <w:gridSpan w:val="2"/>
            <w:tcBorders>
              <w:top w:val="nil"/>
              <w:left w:val="single" w:color="auto" w:sz="4" w:space="0"/>
              <w:right w:val="nil"/>
            </w:tcBorders>
          </w:tcPr>
          <w:p w14:paraId="5AA06A1A">
            <w:pPr>
              <w:spacing w:line="380" w:lineRule="atLeast"/>
              <w:rPr>
                <w:rFonts w:ascii="Times New Roman" w:hAnsi="Times New Roman" w:eastAsia="楷体_GB2312"/>
                <w:sz w:val="18"/>
                <w:szCs w:val="18"/>
              </w:rPr>
            </w:pPr>
          </w:p>
        </w:tc>
        <w:tc>
          <w:tcPr>
            <w:tcW w:w="3241" w:type="dxa"/>
            <w:gridSpan w:val="2"/>
            <w:tcBorders>
              <w:top w:val="nil"/>
              <w:left w:val="nil"/>
              <w:right w:val="nil"/>
            </w:tcBorders>
          </w:tcPr>
          <w:p w14:paraId="57135690">
            <w:pPr>
              <w:spacing w:line="380" w:lineRule="atLeast"/>
              <w:rPr>
                <w:rFonts w:ascii="Times New Roman" w:hAnsi="Times New Roman" w:eastAsia="楷体_GB2312"/>
                <w:sz w:val="18"/>
                <w:szCs w:val="18"/>
              </w:rPr>
            </w:pPr>
          </w:p>
        </w:tc>
        <w:tc>
          <w:tcPr>
            <w:tcW w:w="2652" w:type="dxa"/>
            <w:tcBorders>
              <w:top w:val="nil"/>
              <w:left w:val="nil"/>
              <w:right w:val="single" w:color="auto" w:sz="4" w:space="0"/>
            </w:tcBorders>
          </w:tcPr>
          <w:p w14:paraId="1BECBA77">
            <w:pPr>
              <w:spacing w:line="380" w:lineRule="atLeast"/>
              <w:rPr>
                <w:rFonts w:ascii="Times New Roman" w:hAnsi="Times New Roman" w:eastAsia="楷体_GB2312"/>
                <w:sz w:val="18"/>
                <w:szCs w:val="18"/>
              </w:rPr>
            </w:pPr>
          </w:p>
        </w:tc>
      </w:tr>
    </w:tbl>
    <w:p w14:paraId="7862839C">
      <w:pPr>
        <w:rPr>
          <w:rFonts w:ascii="Times New Roman" w:hAnsi="Times New Roman" w:eastAsia="华文楷体"/>
        </w:rPr>
      </w:pPr>
    </w:p>
    <w:p w14:paraId="765FE716">
      <w:pPr>
        <w:rPr>
          <w:rFonts w:ascii="Times New Roman" w:hAnsi="Times New Roman" w:eastAsia="华文楷体"/>
        </w:rPr>
      </w:pPr>
      <w:r>
        <w:rPr>
          <w:rFonts w:ascii="Times New Roman" w:hAnsi="Times New Roman" w:eastAsia="华文楷体"/>
        </w:rPr>
        <w:br w:type="page"/>
      </w:r>
    </w:p>
    <w:tbl>
      <w:tblPr>
        <w:tblStyle w:val="30"/>
        <w:tblW w:w="879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972"/>
        <w:gridCol w:w="1134"/>
        <w:gridCol w:w="4689"/>
      </w:tblGrid>
      <w:tr w14:paraId="78D72F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795" w:type="dxa"/>
            <w:gridSpan w:val="3"/>
            <w:tcBorders>
              <w:bottom w:val="single" w:color="auto" w:sz="4" w:space="0"/>
            </w:tcBorders>
          </w:tcPr>
          <w:p w14:paraId="58313B17">
            <w:pPr>
              <w:jc w:val="center"/>
              <w:rPr>
                <w:rFonts w:ascii="Times New Roman" w:hAnsi="Times New Roman" w:eastAsia="华文楷体"/>
                <w:b/>
                <w:sz w:val="28"/>
              </w:rPr>
            </w:pPr>
            <w:r>
              <w:rPr>
                <w:rFonts w:ascii="Times New Roman" w:hAnsi="Times New Roman" w:eastAsia="华文楷体"/>
                <w:b/>
                <w:sz w:val="28"/>
              </w:rPr>
              <w:t>【信托名称】</w:t>
            </w:r>
          </w:p>
          <w:p w14:paraId="73B4C42F">
            <w:pPr>
              <w:jc w:val="center"/>
              <w:rPr>
                <w:rFonts w:ascii="Times New Roman" w:hAnsi="Times New Roman" w:eastAsia="华文楷体"/>
                <w:b/>
                <w:sz w:val="28"/>
              </w:rPr>
            </w:pPr>
            <w:r>
              <w:rPr>
                <w:rFonts w:ascii="Times New Roman" w:hAnsi="Times New Roman" w:eastAsia="华文楷体"/>
                <w:b/>
                <w:sz w:val="28"/>
              </w:rPr>
              <w:t>受托机构月度/年度报告</w:t>
            </w:r>
          </w:p>
        </w:tc>
      </w:tr>
      <w:tr w14:paraId="78F54B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795" w:type="dxa"/>
            <w:gridSpan w:val="3"/>
            <w:tcBorders>
              <w:top w:val="single" w:color="auto" w:sz="4" w:space="0"/>
              <w:bottom w:val="single" w:color="auto" w:sz="4" w:space="0"/>
            </w:tcBorders>
          </w:tcPr>
          <w:p w14:paraId="723F1429">
            <w:pPr>
              <w:rPr>
                <w:rFonts w:ascii="Times New Roman" w:hAnsi="Times New Roman" w:eastAsia="华文楷体"/>
                <w:b/>
                <w:sz w:val="18"/>
              </w:rPr>
            </w:pPr>
            <w:r>
              <w:rPr>
                <w:rFonts w:ascii="Times New Roman" w:hAnsi="Times New Roman" w:eastAsia="华文楷体"/>
                <w:b/>
              </w:rPr>
              <w:t>六、对证券化信托财产和信托事务管理产生重大影响的事项</w:t>
            </w:r>
          </w:p>
        </w:tc>
      </w:tr>
      <w:tr w14:paraId="70E3FC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7566E886">
            <w:pPr>
              <w:jc w:val="left"/>
              <w:rPr>
                <w:rFonts w:ascii="Times New Roman" w:hAnsi="Times New Roman" w:eastAsia="华文楷体"/>
                <w:b/>
              </w:rPr>
            </w:pPr>
            <w:r>
              <w:rPr>
                <w:rFonts w:ascii="Times New Roman" w:hAnsi="Times New Roman" w:eastAsia="华文楷体"/>
                <w:b/>
              </w:rPr>
              <w:t>事项</w:t>
            </w:r>
          </w:p>
        </w:tc>
        <w:tc>
          <w:tcPr>
            <w:tcW w:w="1134" w:type="dxa"/>
            <w:tcBorders>
              <w:top w:val="single" w:color="auto" w:sz="4" w:space="0"/>
              <w:left w:val="single" w:color="auto" w:sz="4" w:space="0"/>
              <w:bottom w:val="single" w:color="auto" w:sz="4" w:space="0"/>
              <w:right w:val="single" w:color="auto" w:sz="4" w:space="0"/>
            </w:tcBorders>
          </w:tcPr>
          <w:p w14:paraId="07F34150">
            <w:pPr>
              <w:jc w:val="center"/>
              <w:rPr>
                <w:rFonts w:ascii="Times New Roman" w:hAnsi="Times New Roman" w:eastAsia="华文楷体"/>
                <w:b/>
              </w:rPr>
            </w:pPr>
            <w:r>
              <w:rPr>
                <w:rFonts w:ascii="Times New Roman" w:hAnsi="Times New Roman" w:eastAsia="华文楷体"/>
                <w:b/>
              </w:rPr>
              <w:t>是否发生</w:t>
            </w:r>
          </w:p>
        </w:tc>
        <w:tc>
          <w:tcPr>
            <w:tcW w:w="4689" w:type="dxa"/>
            <w:tcBorders>
              <w:top w:val="single" w:color="auto" w:sz="4" w:space="0"/>
              <w:left w:val="single" w:color="auto" w:sz="4" w:space="0"/>
              <w:bottom w:val="single" w:color="auto" w:sz="4" w:space="0"/>
            </w:tcBorders>
          </w:tcPr>
          <w:p w14:paraId="1A1D4B71">
            <w:pPr>
              <w:jc w:val="center"/>
              <w:rPr>
                <w:rFonts w:ascii="Times New Roman" w:hAnsi="Times New Roman" w:eastAsia="华文楷体"/>
                <w:b/>
              </w:rPr>
            </w:pPr>
            <w:r>
              <w:rPr>
                <w:rFonts w:ascii="Times New Roman" w:hAnsi="Times New Roman" w:eastAsia="华文楷体"/>
                <w:b/>
              </w:rPr>
              <w:t>情况简述</w:t>
            </w:r>
          </w:p>
        </w:tc>
      </w:tr>
      <w:tr w14:paraId="50540E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7557BB49">
            <w:pPr>
              <w:rPr>
                <w:rFonts w:ascii="Times New Roman" w:hAnsi="Times New Roman" w:eastAsia="华文楷体"/>
                <w:sz w:val="18"/>
              </w:rPr>
            </w:pPr>
            <w:r>
              <w:rPr>
                <w:rFonts w:ascii="Times New Roman" w:hAnsi="Times New Roman" w:eastAsia="华文楷体"/>
                <w:sz w:val="20"/>
              </w:rPr>
              <w:t>1.加速清偿事件</w:t>
            </w:r>
          </w:p>
        </w:tc>
        <w:tc>
          <w:tcPr>
            <w:tcW w:w="1134" w:type="dxa"/>
            <w:tcBorders>
              <w:top w:val="single" w:color="auto" w:sz="4" w:space="0"/>
              <w:left w:val="single" w:color="auto" w:sz="4" w:space="0"/>
              <w:bottom w:val="single" w:color="auto" w:sz="4" w:space="0"/>
              <w:right w:val="single" w:color="auto" w:sz="4" w:space="0"/>
            </w:tcBorders>
          </w:tcPr>
          <w:p w14:paraId="41B8C9B1">
            <w:pPr>
              <w:jc w:val="center"/>
              <w:rPr>
                <w:rFonts w:ascii="Times New Roman" w:hAnsi="Times New Roman" w:eastAsia="华文楷体"/>
                <w:sz w:val="18"/>
              </w:rPr>
            </w:pPr>
          </w:p>
        </w:tc>
        <w:tc>
          <w:tcPr>
            <w:tcW w:w="4689" w:type="dxa"/>
            <w:tcBorders>
              <w:top w:val="single" w:color="auto" w:sz="4" w:space="0"/>
              <w:left w:val="single" w:color="auto" w:sz="4" w:space="0"/>
              <w:bottom w:val="single" w:color="auto" w:sz="4" w:space="0"/>
            </w:tcBorders>
          </w:tcPr>
          <w:p w14:paraId="691E73F9">
            <w:pPr>
              <w:jc w:val="center"/>
              <w:rPr>
                <w:rFonts w:ascii="Times New Roman" w:hAnsi="Times New Roman" w:eastAsia="华文楷体"/>
                <w:sz w:val="18"/>
              </w:rPr>
            </w:pPr>
          </w:p>
        </w:tc>
      </w:tr>
      <w:tr w14:paraId="6255C6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43AF707E">
            <w:pPr>
              <w:rPr>
                <w:rFonts w:ascii="Times New Roman" w:hAnsi="Times New Roman" w:eastAsia="华文楷体"/>
                <w:sz w:val="20"/>
              </w:rPr>
            </w:pPr>
            <w:r>
              <w:rPr>
                <w:rFonts w:ascii="Times New Roman" w:hAnsi="Times New Roman" w:eastAsia="华文楷体"/>
                <w:sz w:val="20"/>
              </w:rPr>
              <w:t>2.违约事件</w:t>
            </w:r>
          </w:p>
        </w:tc>
        <w:tc>
          <w:tcPr>
            <w:tcW w:w="1134" w:type="dxa"/>
            <w:tcBorders>
              <w:top w:val="single" w:color="auto" w:sz="4" w:space="0"/>
              <w:left w:val="single" w:color="auto" w:sz="4" w:space="0"/>
              <w:bottom w:val="single" w:color="auto" w:sz="4" w:space="0"/>
              <w:right w:val="single" w:color="auto" w:sz="4" w:space="0"/>
            </w:tcBorders>
          </w:tcPr>
          <w:p w14:paraId="3C7B5D74">
            <w:pPr>
              <w:jc w:val="center"/>
              <w:rPr>
                <w:rFonts w:ascii="Times New Roman" w:hAnsi="Times New Roman" w:eastAsia="华文楷体"/>
                <w:sz w:val="18"/>
              </w:rPr>
            </w:pPr>
          </w:p>
        </w:tc>
        <w:tc>
          <w:tcPr>
            <w:tcW w:w="4689" w:type="dxa"/>
            <w:tcBorders>
              <w:top w:val="single" w:color="auto" w:sz="4" w:space="0"/>
              <w:left w:val="single" w:color="auto" w:sz="4" w:space="0"/>
              <w:bottom w:val="single" w:color="auto" w:sz="4" w:space="0"/>
            </w:tcBorders>
          </w:tcPr>
          <w:p w14:paraId="63BCF026">
            <w:pPr>
              <w:jc w:val="center"/>
              <w:rPr>
                <w:rFonts w:ascii="Times New Roman" w:hAnsi="Times New Roman" w:eastAsia="华文楷体"/>
                <w:sz w:val="18"/>
              </w:rPr>
            </w:pPr>
          </w:p>
        </w:tc>
      </w:tr>
      <w:tr w14:paraId="018F3D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0FB8C759">
            <w:pPr>
              <w:rPr>
                <w:rFonts w:ascii="Times New Roman" w:hAnsi="Times New Roman" w:eastAsia="华文楷体"/>
                <w:sz w:val="20"/>
              </w:rPr>
            </w:pPr>
            <w:r>
              <w:rPr>
                <w:rFonts w:ascii="Times New Roman" w:hAnsi="Times New Roman" w:eastAsia="华文楷体"/>
                <w:sz w:val="20"/>
              </w:rPr>
              <w:t>3.权利完善事件</w:t>
            </w:r>
            <w:r>
              <w:rPr>
                <w:rFonts w:hint="eastAsia" w:ascii="Times New Roman" w:hAnsi="Times New Roman" w:eastAsia="华文楷体"/>
                <w:sz w:val="20"/>
              </w:rPr>
              <w:t>/</w:t>
            </w:r>
            <w:r>
              <w:rPr>
                <w:rFonts w:ascii="Times New Roman" w:hAnsi="Times New Roman" w:eastAsia="楷体_GB2312"/>
                <w:color w:val="000000"/>
                <w:sz w:val="20"/>
              </w:rPr>
              <w:t>个别通知事件</w:t>
            </w:r>
          </w:p>
        </w:tc>
        <w:tc>
          <w:tcPr>
            <w:tcW w:w="1134" w:type="dxa"/>
            <w:tcBorders>
              <w:top w:val="single" w:color="auto" w:sz="4" w:space="0"/>
              <w:left w:val="single" w:color="auto" w:sz="4" w:space="0"/>
              <w:bottom w:val="single" w:color="auto" w:sz="4" w:space="0"/>
              <w:right w:val="single" w:color="auto" w:sz="4" w:space="0"/>
            </w:tcBorders>
          </w:tcPr>
          <w:p w14:paraId="3EC45422">
            <w:pPr>
              <w:jc w:val="center"/>
              <w:rPr>
                <w:rFonts w:ascii="Times New Roman" w:hAnsi="Times New Roman" w:eastAsia="华文楷体"/>
                <w:sz w:val="18"/>
              </w:rPr>
            </w:pPr>
          </w:p>
        </w:tc>
        <w:tc>
          <w:tcPr>
            <w:tcW w:w="4689" w:type="dxa"/>
            <w:tcBorders>
              <w:top w:val="single" w:color="auto" w:sz="4" w:space="0"/>
              <w:left w:val="single" w:color="auto" w:sz="4" w:space="0"/>
              <w:bottom w:val="single" w:color="auto" w:sz="4" w:space="0"/>
            </w:tcBorders>
          </w:tcPr>
          <w:p w14:paraId="0CDC7C0A">
            <w:pPr>
              <w:jc w:val="center"/>
              <w:rPr>
                <w:rFonts w:ascii="Times New Roman" w:hAnsi="Times New Roman" w:eastAsia="华文楷体"/>
                <w:sz w:val="18"/>
              </w:rPr>
            </w:pPr>
          </w:p>
        </w:tc>
      </w:tr>
      <w:tr w14:paraId="7848AF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5785A23D">
            <w:pPr>
              <w:rPr>
                <w:rFonts w:ascii="Times New Roman" w:hAnsi="Times New Roman" w:eastAsia="华文楷体"/>
                <w:sz w:val="20"/>
              </w:rPr>
            </w:pPr>
            <w:r>
              <w:rPr>
                <w:rFonts w:hint="eastAsia" w:ascii="Times New Roman" w:hAnsi="Times New Roman" w:eastAsia="华文楷体"/>
                <w:sz w:val="20"/>
              </w:rPr>
              <w:t>4</w:t>
            </w:r>
            <w:r>
              <w:rPr>
                <w:rFonts w:ascii="Times New Roman" w:hAnsi="Times New Roman" w:eastAsia="华文楷体"/>
                <w:sz w:val="20"/>
              </w:rPr>
              <w:t>.赎回</w:t>
            </w:r>
          </w:p>
        </w:tc>
        <w:tc>
          <w:tcPr>
            <w:tcW w:w="1134" w:type="dxa"/>
            <w:tcBorders>
              <w:top w:val="single" w:color="auto" w:sz="4" w:space="0"/>
              <w:left w:val="single" w:color="auto" w:sz="4" w:space="0"/>
              <w:bottom w:val="single" w:color="auto" w:sz="4" w:space="0"/>
              <w:right w:val="single" w:color="auto" w:sz="4" w:space="0"/>
            </w:tcBorders>
          </w:tcPr>
          <w:p w14:paraId="3CADEDA7">
            <w:pPr>
              <w:jc w:val="center"/>
              <w:rPr>
                <w:rFonts w:ascii="Times New Roman" w:hAnsi="Times New Roman" w:eastAsia="华文楷体"/>
                <w:sz w:val="18"/>
              </w:rPr>
            </w:pPr>
          </w:p>
        </w:tc>
        <w:tc>
          <w:tcPr>
            <w:tcW w:w="4689" w:type="dxa"/>
            <w:tcBorders>
              <w:top w:val="single" w:color="auto" w:sz="4" w:space="0"/>
              <w:left w:val="single" w:color="auto" w:sz="4" w:space="0"/>
              <w:bottom w:val="single" w:color="auto" w:sz="4" w:space="0"/>
            </w:tcBorders>
          </w:tcPr>
          <w:p w14:paraId="7783044B">
            <w:pPr>
              <w:jc w:val="center"/>
              <w:rPr>
                <w:rFonts w:ascii="Times New Roman" w:hAnsi="Times New Roman" w:eastAsia="华文楷体"/>
                <w:sz w:val="18"/>
              </w:rPr>
            </w:pPr>
          </w:p>
        </w:tc>
      </w:tr>
      <w:tr w14:paraId="779917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2972" w:type="dxa"/>
            <w:tcBorders>
              <w:top w:val="single" w:color="auto" w:sz="4" w:space="0"/>
              <w:bottom w:val="single" w:color="auto" w:sz="4" w:space="0"/>
              <w:right w:val="single" w:color="auto" w:sz="4" w:space="0"/>
            </w:tcBorders>
          </w:tcPr>
          <w:p w14:paraId="1778FE5A">
            <w:pPr>
              <w:rPr>
                <w:rFonts w:ascii="Times New Roman" w:hAnsi="Times New Roman" w:eastAsia="华文楷体"/>
                <w:sz w:val="20"/>
              </w:rPr>
            </w:pPr>
            <w:r>
              <w:rPr>
                <w:rFonts w:hint="eastAsia" w:ascii="Times New Roman" w:hAnsi="Times New Roman" w:eastAsia="华文楷体"/>
                <w:sz w:val="20"/>
              </w:rPr>
              <w:t>5</w:t>
            </w:r>
            <w:r>
              <w:rPr>
                <w:rFonts w:ascii="Times New Roman" w:hAnsi="Times New Roman" w:eastAsia="华文楷体"/>
                <w:sz w:val="20"/>
              </w:rPr>
              <w:t>.清仓回购</w:t>
            </w:r>
          </w:p>
        </w:tc>
        <w:tc>
          <w:tcPr>
            <w:tcW w:w="1134" w:type="dxa"/>
            <w:tcBorders>
              <w:top w:val="single" w:color="auto" w:sz="4" w:space="0"/>
              <w:left w:val="single" w:color="auto" w:sz="4" w:space="0"/>
              <w:bottom w:val="single" w:color="auto" w:sz="4" w:space="0"/>
              <w:right w:val="single" w:color="auto" w:sz="4" w:space="0"/>
            </w:tcBorders>
          </w:tcPr>
          <w:p w14:paraId="17C28828">
            <w:pPr>
              <w:jc w:val="center"/>
              <w:rPr>
                <w:rFonts w:ascii="Times New Roman" w:hAnsi="Times New Roman" w:eastAsia="华文楷体"/>
                <w:sz w:val="18"/>
              </w:rPr>
            </w:pPr>
          </w:p>
        </w:tc>
        <w:tc>
          <w:tcPr>
            <w:tcW w:w="4689" w:type="dxa"/>
            <w:tcBorders>
              <w:top w:val="single" w:color="auto" w:sz="4" w:space="0"/>
              <w:left w:val="single" w:color="auto" w:sz="4" w:space="0"/>
              <w:bottom w:val="single" w:color="auto" w:sz="4" w:space="0"/>
            </w:tcBorders>
          </w:tcPr>
          <w:p w14:paraId="1CEE289F">
            <w:pPr>
              <w:jc w:val="center"/>
              <w:rPr>
                <w:rFonts w:ascii="Times New Roman" w:hAnsi="Times New Roman" w:eastAsia="华文楷体"/>
                <w:sz w:val="18"/>
              </w:rPr>
            </w:pPr>
          </w:p>
        </w:tc>
      </w:tr>
      <w:tr w14:paraId="56247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471B1B20">
            <w:pPr>
              <w:rPr>
                <w:rFonts w:ascii="Times New Roman" w:hAnsi="Times New Roman" w:eastAsia="华文楷体"/>
                <w:sz w:val="20"/>
              </w:rPr>
            </w:pPr>
            <w:r>
              <w:rPr>
                <w:rFonts w:hint="eastAsia" w:ascii="Times New Roman" w:hAnsi="Times New Roman" w:eastAsia="华文楷体"/>
                <w:sz w:val="20"/>
              </w:rPr>
              <w:t>6</w:t>
            </w:r>
            <w:r>
              <w:rPr>
                <w:rFonts w:ascii="Times New Roman" w:hAnsi="Times New Roman" w:eastAsia="华文楷体"/>
                <w:sz w:val="20"/>
              </w:rPr>
              <w:t>.丧失清偿能力事件</w:t>
            </w:r>
          </w:p>
        </w:tc>
        <w:tc>
          <w:tcPr>
            <w:tcW w:w="1134" w:type="dxa"/>
            <w:tcBorders>
              <w:top w:val="single" w:color="auto" w:sz="4" w:space="0"/>
              <w:left w:val="single" w:color="auto" w:sz="4" w:space="0"/>
              <w:bottom w:val="single" w:color="auto" w:sz="4" w:space="0"/>
              <w:right w:val="single" w:color="auto" w:sz="4" w:space="0"/>
            </w:tcBorders>
          </w:tcPr>
          <w:p w14:paraId="75EC652D">
            <w:pPr>
              <w:jc w:val="center"/>
              <w:rPr>
                <w:rFonts w:ascii="Times New Roman" w:hAnsi="Times New Roman" w:eastAsia="华文楷体"/>
                <w:sz w:val="18"/>
              </w:rPr>
            </w:pPr>
          </w:p>
        </w:tc>
        <w:tc>
          <w:tcPr>
            <w:tcW w:w="4689" w:type="dxa"/>
            <w:tcBorders>
              <w:top w:val="single" w:color="auto" w:sz="4" w:space="0"/>
              <w:left w:val="single" w:color="auto" w:sz="4" w:space="0"/>
              <w:bottom w:val="single" w:color="auto" w:sz="4" w:space="0"/>
            </w:tcBorders>
          </w:tcPr>
          <w:p w14:paraId="08F2654A">
            <w:pPr>
              <w:jc w:val="center"/>
              <w:rPr>
                <w:rFonts w:ascii="Times New Roman" w:hAnsi="Times New Roman" w:eastAsia="华文楷体"/>
                <w:sz w:val="18"/>
              </w:rPr>
            </w:pPr>
          </w:p>
        </w:tc>
      </w:tr>
      <w:tr w14:paraId="1D16A7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5013504D">
            <w:pPr>
              <w:rPr>
                <w:rFonts w:ascii="Times New Roman" w:hAnsi="Times New Roman" w:eastAsia="华文楷体"/>
                <w:sz w:val="20"/>
              </w:rPr>
            </w:pPr>
            <w:r>
              <w:rPr>
                <w:rFonts w:hint="eastAsia" w:ascii="Times New Roman" w:hAnsi="Times New Roman" w:eastAsia="华文楷体"/>
                <w:sz w:val="20"/>
              </w:rPr>
              <w:t>7</w:t>
            </w:r>
            <w:r>
              <w:rPr>
                <w:rFonts w:ascii="Times New Roman" w:hAnsi="Times New Roman" w:eastAsia="华文楷体"/>
                <w:sz w:val="20"/>
              </w:rPr>
              <w:t>.受托机构终止事件</w:t>
            </w:r>
          </w:p>
        </w:tc>
        <w:tc>
          <w:tcPr>
            <w:tcW w:w="1134" w:type="dxa"/>
            <w:tcBorders>
              <w:top w:val="single" w:color="auto" w:sz="4" w:space="0"/>
              <w:left w:val="single" w:color="auto" w:sz="4" w:space="0"/>
              <w:bottom w:val="single" w:color="auto" w:sz="4" w:space="0"/>
              <w:right w:val="single" w:color="auto" w:sz="4" w:space="0"/>
            </w:tcBorders>
          </w:tcPr>
          <w:p w14:paraId="0FFC795C">
            <w:pPr>
              <w:jc w:val="center"/>
              <w:rPr>
                <w:rFonts w:ascii="Times New Roman" w:hAnsi="Times New Roman" w:eastAsia="华文楷体"/>
                <w:sz w:val="18"/>
              </w:rPr>
            </w:pPr>
          </w:p>
        </w:tc>
        <w:tc>
          <w:tcPr>
            <w:tcW w:w="4689" w:type="dxa"/>
            <w:tcBorders>
              <w:top w:val="single" w:color="auto" w:sz="4" w:space="0"/>
              <w:left w:val="single" w:color="auto" w:sz="4" w:space="0"/>
              <w:bottom w:val="single" w:color="auto" w:sz="4" w:space="0"/>
            </w:tcBorders>
          </w:tcPr>
          <w:p w14:paraId="63C87AAA">
            <w:pPr>
              <w:jc w:val="center"/>
              <w:rPr>
                <w:rFonts w:ascii="Times New Roman" w:hAnsi="Times New Roman" w:eastAsia="华文楷体"/>
                <w:sz w:val="18"/>
              </w:rPr>
            </w:pPr>
          </w:p>
        </w:tc>
      </w:tr>
      <w:tr w14:paraId="58A2E2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09152DAC">
            <w:pPr>
              <w:rPr>
                <w:rFonts w:ascii="Times New Roman" w:hAnsi="Times New Roman" w:eastAsia="华文楷体"/>
                <w:sz w:val="20"/>
              </w:rPr>
            </w:pPr>
            <w:r>
              <w:rPr>
                <w:rFonts w:ascii="Times New Roman" w:hAnsi="Times New Roman" w:eastAsia="华文楷体"/>
                <w:color w:val="auto"/>
                <w:sz w:val="20"/>
                <w:szCs w:val="24"/>
              </w:rPr>
              <w:t>8.</w:t>
            </w:r>
            <w:r>
              <w:rPr>
                <w:rFonts w:hint="eastAsia" w:ascii="Times New Roman" w:hAnsi="Times New Roman" w:eastAsia="华文楷体"/>
                <w:color w:val="auto"/>
                <w:sz w:val="20"/>
                <w:szCs w:val="24"/>
              </w:rPr>
              <w:t>重大不利变化</w:t>
            </w:r>
          </w:p>
        </w:tc>
        <w:tc>
          <w:tcPr>
            <w:tcW w:w="1134" w:type="dxa"/>
            <w:tcBorders>
              <w:top w:val="single" w:color="auto" w:sz="4" w:space="0"/>
              <w:left w:val="single" w:color="auto" w:sz="4" w:space="0"/>
              <w:bottom w:val="single" w:color="auto" w:sz="4" w:space="0"/>
              <w:right w:val="single" w:color="auto" w:sz="4" w:space="0"/>
            </w:tcBorders>
          </w:tcPr>
          <w:p w14:paraId="0C85CCD2">
            <w:pPr>
              <w:jc w:val="center"/>
              <w:rPr>
                <w:rFonts w:ascii="Times New Roman" w:hAnsi="Times New Roman" w:eastAsia="华文楷体"/>
                <w:sz w:val="18"/>
              </w:rPr>
            </w:pPr>
          </w:p>
        </w:tc>
        <w:tc>
          <w:tcPr>
            <w:tcW w:w="4689" w:type="dxa"/>
            <w:tcBorders>
              <w:top w:val="single" w:color="auto" w:sz="4" w:space="0"/>
              <w:left w:val="single" w:color="auto" w:sz="4" w:space="0"/>
              <w:bottom w:val="single" w:color="auto" w:sz="4" w:space="0"/>
            </w:tcBorders>
          </w:tcPr>
          <w:p w14:paraId="040F43A6">
            <w:pPr>
              <w:jc w:val="center"/>
              <w:rPr>
                <w:rFonts w:ascii="Times New Roman" w:hAnsi="Times New Roman" w:eastAsia="华文楷体"/>
                <w:sz w:val="18"/>
              </w:rPr>
            </w:pPr>
          </w:p>
        </w:tc>
      </w:tr>
      <w:tr w14:paraId="5577D5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7BEAD9C6">
            <w:pPr>
              <w:rPr>
                <w:rFonts w:ascii="Times New Roman" w:hAnsi="Times New Roman" w:eastAsia="华文楷体"/>
                <w:sz w:val="20"/>
              </w:rPr>
            </w:pPr>
            <w:r>
              <w:rPr>
                <w:rFonts w:ascii="Times New Roman" w:hAnsi="Times New Roman" w:eastAsia="华文楷体"/>
                <w:sz w:val="20"/>
              </w:rPr>
              <w:t>9.重大不利影响</w:t>
            </w:r>
          </w:p>
        </w:tc>
        <w:tc>
          <w:tcPr>
            <w:tcW w:w="1134" w:type="dxa"/>
            <w:tcBorders>
              <w:top w:val="single" w:color="auto" w:sz="4" w:space="0"/>
              <w:left w:val="single" w:color="auto" w:sz="4" w:space="0"/>
              <w:bottom w:val="single" w:color="auto" w:sz="4" w:space="0"/>
              <w:right w:val="single" w:color="auto" w:sz="4" w:space="0"/>
            </w:tcBorders>
          </w:tcPr>
          <w:p w14:paraId="7BB18746">
            <w:pPr>
              <w:jc w:val="center"/>
              <w:rPr>
                <w:rFonts w:ascii="Times New Roman" w:hAnsi="Times New Roman" w:eastAsia="华文楷体"/>
                <w:sz w:val="18"/>
              </w:rPr>
            </w:pPr>
          </w:p>
        </w:tc>
        <w:tc>
          <w:tcPr>
            <w:tcW w:w="4689" w:type="dxa"/>
            <w:tcBorders>
              <w:top w:val="single" w:color="auto" w:sz="4" w:space="0"/>
              <w:left w:val="single" w:color="auto" w:sz="4" w:space="0"/>
              <w:bottom w:val="single" w:color="auto" w:sz="4" w:space="0"/>
            </w:tcBorders>
          </w:tcPr>
          <w:p w14:paraId="649F7C7E">
            <w:pPr>
              <w:jc w:val="center"/>
              <w:rPr>
                <w:rFonts w:ascii="Times New Roman" w:hAnsi="Times New Roman" w:eastAsia="华文楷体"/>
                <w:sz w:val="18"/>
              </w:rPr>
            </w:pPr>
          </w:p>
        </w:tc>
      </w:tr>
      <w:tr w14:paraId="636DCB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71484BA6">
            <w:pPr>
              <w:rPr>
                <w:rFonts w:ascii="Times New Roman" w:hAnsi="Times New Roman" w:eastAsia="华文楷体"/>
                <w:sz w:val="20"/>
              </w:rPr>
            </w:pPr>
            <w:r>
              <w:rPr>
                <w:rFonts w:ascii="Times New Roman" w:hAnsi="Times New Roman" w:eastAsia="华文楷体"/>
                <w:sz w:val="20"/>
              </w:rPr>
              <w:t>10.受托人解任事件</w:t>
            </w:r>
          </w:p>
        </w:tc>
        <w:tc>
          <w:tcPr>
            <w:tcW w:w="1134" w:type="dxa"/>
            <w:tcBorders>
              <w:top w:val="single" w:color="auto" w:sz="4" w:space="0"/>
              <w:left w:val="single" w:color="auto" w:sz="4" w:space="0"/>
              <w:bottom w:val="single" w:color="auto" w:sz="4" w:space="0"/>
              <w:right w:val="single" w:color="auto" w:sz="4" w:space="0"/>
            </w:tcBorders>
          </w:tcPr>
          <w:p w14:paraId="7D8B1FCE">
            <w:pPr>
              <w:jc w:val="center"/>
              <w:rPr>
                <w:rFonts w:ascii="Times New Roman" w:hAnsi="Times New Roman" w:eastAsia="华文楷体"/>
                <w:sz w:val="18"/>
              </w:rPr>
            </w:pPr>
          </w:p>
        </w:tc>
        <w:tc>
          <w:tcPr>
            <w:tcW w:w="4689" w:type="dxa"/>
            <w:tcBorders>
              <w:top w:val="single" w:color="auto" w:sz="4" w:space="0"/>
              <w:left w:val="single" w:color="auto" w:sz="4" w:space="0"/>
              <w:bottom w:val="single" w:color="auto" w:sz="4" w:space="0"/>
            </w:tcBorders>
          </w:tcPr>
          <w:p w14:paraId="5D500F74">
            <w:pPr>
              <w:jc w:val="center"/>
              <w:rPr>
                <w:rFonts w:ascii="Times New Roman" w:hAnsi="Times New Roman" w:eastAsia="华文楷体"/>
                <w:sz w:val="18"/>
              </w:rPr>
            </w:pPr>
          </w:p>
        </w:tc>
      </w:tr>
      <w:tr w14:paraId="29E6D6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0622F3B7">
            <w:pPr>
              <w:rPr>
                <w:rFonts w:ascii="Times New Roman" w:hAnsi="Times New Roman" w:eastAsia="华文楷体"/>
                <w:sz w:val="20"/>
              </w:rPr>
            </w:pPr>
            <w:r>
              <w:rPr>
                <w:rFonts w:ascii="Times New Roman" w:hAnsi="Times New Roman" w:eastAsia="华文楷体"/>
                <w:sz w:val="20"/>
              </w:rPr>
              <w:t>11.贷款服务机构解任事件</w:t>
            </w:r>
          </w:p>
        </w:tc>
        <w:tc>
          <w:tcPr>
            <w:tcW w:w="1134" w:type="dxa"/>
            <w:tcBorders>
              <w:top w:val="single" w:color="auto" w:sz="4" w:space="0"/>
              <w:left w:val="single" w:color="auto" w:sz="4" w:space="0"/>
              <w:bottom w:val="single" w:color="auto" w:sz="4" w:space="0"/>
              <w:right w:val="single" w:color="auto" w:sz="4" w:space="0"/>
            </w:tcBorders>
          </w:tcPr>
          <w:p w14:paraId="05EC6D67">
            <w:pPr>
              <w:jc w:val="center"/>
              <w:rPr>
                <w:rFonts w:ascii="Times New Roman" w:hAnsi="Times New Roman" w:eastAsia="华文楷体"/>
                <w:sz w:val="18"/>
              </w:rPr>
            </w:pPr>
          </w:p>
        </w:tc>
        <w:tc>
          <w:tcPr>
            <w:tcW w:w="4689" w:type="dxa"/>
            <w:tcBorders>
              <w:top w:val="single" w:color="auto" w:sz="4" w:space="0"/>
              <w:left w:val="single" w:color="auto" w:sz="4" w:space="0"/>
              <w:bottom w:val="single" w:color="auto" w:sz="4" w:space="0"/>
            </w:tcBorders>
          </w:tcPr>
          <w:p w14:paraId="5A2DCB8D">
            <w:pPr>
              <w:jc w:val="center"/>
              <w:rPr>
                <w:rFonts w:ascii="Times New Roman" w:hAnsi="Times New Roman" w:eastAsia="华文楷体"/>
                <w:sz w:val="18"/>
              </w:rPr>
            </w:pPr>
          </w:p>
        </w:tc>
      </w:tr>
      <w:tr w14:paraId="65D1B3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17CC97D3">
            <w:pPr>
              <w:rPr>
                <w:rFonts w:ascii="Times New Roman" w:hAnsi="Times New Roman" w:eastAsia="华文楷体"/>
                <w:sz w:val="20"/>
              </w:rPr>
            </w:pPr>
            <w:r>
              <w:rPr>
                <w:rFonts w:ascii="Times New Roman" w:hAnsi="Times New Roman" w:eastAsia="华文楷体"/>
                <w:sz w:val="20"/>
              </w:rPr>
              <w:t>12.资金保管机构解任事件</w:t>
            </w:r>
          </w:p>
        </w:tc>
        <w:tc>
          <w:tcPr>
            <w:tcW w:w="1134" w:type="dxa"/>
            <w:tcBorders>
              <w:top w:val="single" w:color="auto" w:sz="4" w:space="0"/>
              <w:left w:val="single" w:color="auto" w:sz="4" w:space="0"/>
              <w:bottom w:val="single" w:color="auto" w:sz="4" w:space="0"/>
              <w:right w:val="single" w:color="auto" w:sz="4" w:space="0"/>
            </w:tcBorders>
          </w:tcPr>
          <w:p w14:paraId="1EE94974">
            <w:pPr>
              <w:jc w:val="center"/>
              <w:rPr>
                <w:rFonts w:ascii="Times New Roman" w:hAnsi="Times New Roman" w:eastAsia="华文楷体"/>
                <w:sz w:val="18"/>
              </w:rPr>
            </w:pPr>
          </w:p>
        </w:tc>
        <w:tc>
          <w:tcPr>
            <w:tcW w:w="4689" w:type="dxa"/>
            <w:tcBorders>
              <w:top w:val="single" w:color="auto" w:sz="4" w:space="0"/>
              <w:left w:val="single" w:color="auto" w:sz="4" w:space="0"/>
              <w:bottom w:val="single" w:color="auto" w:sz="4" w:space="0"/>
            </w:tcBorders>
          </w:tcPr>
          <w:p w14:paraId="76B3ABC6">
            <w:pPr>
              <w:jc w:val="center"/>
              <w:rPr>
                <w:rFonts w:ascii="Times New Roman" w:hAnsi="Times New Roman" w:eastAsia="华文楷体"/>
                <w:sz w:val="18"/>
              </w:rPr>
            </w:pPr>
          </w:p>
        </w:tc>
      </w:tr>
      <w:tr w14:paraId="23584B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38DE51F7">
            <w:pPr>
              <w:rPr>
                <w:rFonts w:ascii="Times New Roman" w:hAnsi="Times New Roman" w:eastAsia="华文楷体"/>
                <w:sz w:val="20"/>
              </w:rPr>
            </w:pPr>
            <w:r>
              <w:rPr>
                <w:rFonts w:ascii="Times New Roman" w:hAnsi="Times New Roman" w:eastAsia="华文楷体"/>
                <w:sz w:val="20"/>
              </w:rPr>
              <w:t>13.资产支持证券持有人大会</w:t>
            </w:r>
          </w:p>
        </w:tc>
        <w:tc>
          <w:tcPr>
            <w:tcW w:w="1134" w:type="dxa"/>
            <w:tcBorders>
              <w:top w:val="single" w:color="auto" w:sz="4" w:space="0"/>
              <w:left w:val="single" w:color="auto" w:sz="4" w:space="0"/>
              <w:bottom w:val="single" w:color="auto" w:sz="4" w:space="0"/>
              <w:right w:val="single" w:color="auto" w:sz="4" w:space="0"/>
            </w:tcBorders>
          </w:tcPr>
          <w:p w14:paraId="43FB4EFE">
            <w:pPr>
              <w:jc w:val="center"/>
              <w:rPr>
                <w:rFonts w:ascii="Times New Roman" w:hAnsi="Times New Roman" w:eastAsia="华文楷体"/>
                <w:sz w:val="18"/>
              </w:rPr>
            </w:pPr>
          </w:p>
        </w:tc>
        <w:tc>
          <w:tcPr>
            <w:tcW w:w="4689" w:type="dxa"/>
            <w:tcBorders>
              <w:top w:val="single" w:color="auto" w:sz="4" w:space="0"/>
              <w:left w:val="single" w:color="auto" w:sz="4" w:space="0"/>
              <w:bottom w:val="single" w:color="auto" w:sz="4" w:space="0"/>
            </w:tcBorders>
          </w:tcPr>
          <w:p w14:paraId="1B122D15">
            <w:pPr>
              <w:jc w:val="center"/>
              <w:rPr>
                <w:rFonts w:ascii="Times New Roman" w:hAnsi="Times New Roman" w:eastAsia="华文楷体"/>
                <w:sz w:val="18"/>
              </w:rPr>
            </w:pPr>
          </w:p>
        </w:tc>
      </w:tr>
      <w:tr w14:paraId="6F9639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0D443C6B">
            <w:pPr>
              <w:rPr>
                <w:rFonts w:ascii="Times New Roman" w:hAnsi="Times New Roman" w:eastAsia="华文楷体"/>
                <w:sz w:val="20"/>
              </w:rPr>
            </w:pPr>
            <w:r>
              <w:rPr>
                <w:rFonts w:ascii="Times New Roman" w:hAnsi="Times New Roman" w:eastAsia="华文楷体"/>
                <w:color w:val="auto"/>
                <w:sz w:val="20"/>
                <w:szCs w:val="24"/>
              </w:rPr>
              <w:t>14.</w:t>
            </w:r>
            <w:r>
              <w:rPr>
                <w:rFonts w:hint="eastAsia" w:ascii="Times New Roman" w:hAnsi="Times New Roman" w:eastAsia="华文楷体"/>
                <w:color w:val="auto"/>
                <w:sz w:val="20"/>
                <w:szCs w:val="24"/>
              </w:rPr>
              <w:t>法定到期日延长</w:t>
            </w:r>
          </w:p>
        </w:tc>
        <w:tc>
          <w:tcPr>
            <w:tcW w:w="1134" w:type="dxa"/>
            <w:tcBorders>
              <w:top w:val="single" w:color="auto" w:sz="4" w:space="0"/>
              <w:left w:val="single" w:color="auto" w:sz="4" w:space="0"/>
              <w:bottom w:val="single" w:color="auto" w:sz="4" w:space="0"/>
              <w:right w:val="single" w:color="auto" w:sz="4" w:space="0"/>
            </w:tcBorders>
          </w:tcPr>
          <w:p w14:paraId="0DCE90AB">
            <w:pPr>
              <w:jc w:val="center"/>
              <w:rPr>
                <w:rFonts w:ascii="Times New Roman" w:hAnsi="Times New Roman" w:eastAsia="华文楷体"/>
                <w:sz w:val="18"/>
              </w:rPr>
            </w:pPr>
          </w:p>
        </w:tc>
        <w:tc>
          <w:tcPr>
            <w:tcW w:w="4689" w:type="dxa"/>
            <w:tcBorders>
              <w:top w:val="single" w:color="auto" w:sz="4" w:space="0"/>
              <w:left w:val="single" w:color="auto" w:sz="4" w:space="0"/>
              <w:bottom w:val="single" w:color="auto" w:sz="4" w:space="0"/>
            </w:tcBorders>
          </w:tcPr>
          <w:p w14:paraId="4890A1A6">
            <w:pPr>
              <w:jc w:val="center"/>
              <w:rPr>
                <w:rFonts w:ascii="Times New Roman" w:hAnsi="Times New Roman" w:eastAsia="华文楷体"/>
                <w:sz w:val="18"/>
              </w:rPr>
            </w:pPr>
          </w:p>
        </w:tc>
      </w:tr>
      <w:tr w14:paraId="624C43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712D33D8">
            <w:pPr>
              <w:rPr>
                <w:rFonts w:ascii="Times New Roman" w:hAnsi="Times New Roman" w:eastAsia="华文楷体"/>
                <w:sz w:val="20"/>
              </w:rPr>
            </w:pPr>
            <w:r>
              <w:rPr>
                <w:rFonts w:ascii="Times New Roman" w:hAnsi="Times New Roman" w:eastAsia="华文楷体"/>
                <w:color w:val="auto"/>
                <w:sz w:val="20"/>
                <w:szCs w:val="24"/>
              </w:rPr>
              <w:t>15.</w:t>
            </w:r>
            <w:r>
              <w:rPr>
                <w:rFonts w:hint="eastAsia" w:ascii="Times New Roman" w:hAnsi="Times New Roman" w:eastAsia="华文楷体"/>
                <w:color w:val="auto"/>
                <w:sz w:val="20"/>
                <w:szCs w:val="24"/>
              </w:rPr>
              <w:t>清算期延长</w:t>
            </w:r>
          </w:p>
        </w:tc>
        <w:tc>
          <w:tcPr>
            <w:tcW w:w="1134" w:type="dxa"/>
            <w:tcBorders>
              <w:top w:val="single" w:color="auto" w:sz="4" w:space="0"/>
              <w:left w:val="single" w:color="auto" w:sz="4" w:space="0"/>
              <w:bottom w:val="single" w:color="auto" w:sz="4" w:space="0"/>
              <w:right w:val="single" w:color="auto" w:sz="4" w:space="0"/>
            </w:tcBorders>
          </w:tcPr>
          <w:p w14:paraId="6E2AD064">
            <w:pPr>
              <w:jc w:val="center"/>
              <w:rPr>
                <w:rFonts w:ascii="Times New Roman" w:hAnsi="Times New Roman" w:eastAsia="华文楷体"/>
                <w:sz w:val="18"/>
              </w:rPr>
            </w:pPr>
          </w:p>
        </w:tc>
        <w:tc>
          <w:tcPr>
            <w:tcW w:w="4689" w:type="dxa"/>
            <w:tcBorders>
              <w:top w:val="single" w:color="auto" w:sz="4" w:space="0"/>
              <w:left w:val="single" w:color="auto" w:sz="4" w:space="0"/>
              <w:bottom w:val="single" w:color="auto" w:sz="4" w:space="0"/>
            </w:tcBorders>
          </w:tcPr>
          <w:p w14:paraId="7B896DF5">
            <w:pPr>
              <w:jc w:val="center"/>
              <w:rPr>
                <w:rFonts w:ascii="Times New Roman" w:hAnsi="Times New Roman" w:eastAsia="华文楷体"/>
                <w:sz w:val="18"/>
              </w:rPr>
            </w:pPr>
          </w:p>
        </w:tc>
      </w:tr>
      <w:tr w14:paraId="724974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22D66836">
            <w:pPr>
              <w:rPr>
                <w:rFonts w:ascii="Times New Roman" w:hAnsi="Times New Roman" w:eastAsia="华文楷体"/>
                <w:sz w:val="20"/>
              </w:rPr>
            </w:pPr>
            <w:r>
              <w:rPr>
                <w:rFonts w:ascii="Times New Roman" w:hAnsi="Times New Roman" w:eastAsia="华文楷体"/>
                <w:sz w:val="20"/>
              </w:rPr>
              <w:t>1</w:t>
            </w:r>
            <w:r>
              <w:rPr>
                <w:rFonts w:hint="eastAsia" w:ascii="Times New Roman" w:hAnsi="Times New Roman" w:eastAsia="华文楷体"/>
                <w:sz w:val="20"/>
              </w:rPr>
              <w:t>6</w:t>
            </w:r>
            <w:r>
              <w:rPr>
                <w:rFonts w:ascii="Times New Roman" w:hAnsi="Times New Roman" w:eastAsia="华文楷体"/>
                <w:sz w:val="20"/>
              </w:rPr>
              <w:t>.其他影响</w:t>
            </w:r>
            <w:r>
              <w:rPr>
                <w:rFonts w:hint="eastAsia" w:ascii="Times New Roman" w:hAnsi="Times New Roman" w:eastAsia="华文楷体"/>
                <w:sz w:val="20"/>
              </w:rPr>
              <w:t>证券</w:t>
            </w:r>
            <w:r>
              <w:rPr>
                <w:rFonts w:ascii="Times New Roman" w:hAnsi="Times New Roman" w:eastAsia="华文楷体"/>
                <w:sz w:val="20"/>
              </w:rPr>
              <w:t>本息兑付或投资者利益的事项</w:t>
            </w:r>
            <w:r>
              <w:rPr>
                <w:rFonts w:hint="eastAsia" w:ascii="Times New Roman" w:hAnsi="Times New Roman" w:eastAsia="华文楷体"/>
                <w:color w:val="auto"/>
                <w:sz w:val="20"/>
                <w:szCs w:val="24"/>
              </w:rPr>
              <w:t>（如负面的催收相关事项）</w:t>
            </w:r>
          </w:p>
        </w:tc>
        <w:tc>
          <w:tcPr>
            <w:tcW w:w="1134" w:type="dxa"/>
            <w:tcBorders>
              <w:top w:val="single" w:color="auto" w:sz="4" w:space="0"/>
              <w:left w:val="single" w:color="auto" w:sz="4" w:space="0"/>
              <w:bottom w:val="single" w:color="auto" w:sz="4" w:space="0"/>
              <w:right w:val="single" w:color="auto" w:sz="4" w:space="0"/>
            </w:tcBorders>
          </w:tcPr>
          <w:p w14:paraId="1668B14B">
            <w:pPr>
              <w:jc w:val="center"/>
              <w:rPr>
                <w:rFonts w:ascii="Times New Roman" w:hAnsi="Times New Roman" w:eastAsia="华文楷体"/>
                <w:sz w:val="18"/>
              </w:rPr>
            </w:pPr>
          </w:p>
        </w:tc>
        <w:tc>
          <w:tcPr>
            <w:tcW w:w="4689" w:type="dxa"/>
            <w:tcBorders>
              <w:top w:val="single" w:color="auto" w:sz="4" w:space="0"/>
              <w:left w:val="single" w:color="auto" w:sz="4" w:space="0"/>
              <w:bottom w:val="single" w:color="auto" w:sz="4" w:space="0"/>
            </w:tcBorders>
          </w:tcPr>
          <w:p w14:paraId="49663D46">
            <w:pPr>
              <w:jc w:val="center"/>
              <w:rPr>
                <w:rFonts w:ascii="Times New Roman" w:hAnsi="Times New Roman" w:eastAsia="华文楷体"/>
                <w:sz w:val="18"/>
              </w:rPr>
            </w:pPr>
          </w:p>
        </w:tc>
      </w:tr>
    </w:tbl>
    <w:p w14:paraId="070D1CCA">
      <w:pPr>
        <w:spacing w:line="360" w:lineRule="auto"/>
        <w:rPr>
          <w:rFonts w:ascii="Times New Roman" w:hAnsi="Times New Roman" w:eastAsia="楷体_GB2312"/>
          <w:b/>
          <w:bCs/>
          <w:i/>
          <w:iCs/>
          <w:color w:val="FF0000"/>
        </w:rPr>
      </w:pPr>
      <w:r>
        <w:rPr>
          <w:rFonts w:hint="eastAsia" w:ascii="Times New Roman" w:hAnsi="Times New Roman" w:eastAsia="楷体_GB2312"/>
          <w:b/>
          <w:bCs/>
          <w:i/>
          <w:iCs/>
          <w:color w:val="FF0000"/>
        </w:rPr>
        <w:t>【注：</w:t>
      </w:r>
      <w:r>
        <w:rPr>
          <w:rFonts w:hint="eastAsia" w:eastAsia="楷体_GB2312"/>
          <w:b/>
          <w:bCs/>
          <w:i/>
          <w:iCs/>
          <w:color w:val="FF0000"/>
        </w:rPr>
        <w:t>关于报告期内应披露的重大</w:t>
      </w:r>
      <w:r>
        <w:rPr>
          <w:rFonts w:eastAsia="楷体_GB2312"/>
          <w:b/>
          <w:bCs/>
          <w:i/>
          <w:iCs/>
          <w:color w:val="FF0000"/>
        </w:rPr>
        <w:t>事件需</w:t>
      </w:r>
      <w:r>
        <w:rPr>
          <w:rFonts w:hint="eastAsia" w:eastAsia="楷体_GB2312"/>
          <w:b/>
          <w:bCs/>
          <w:i/>
          <w:iCs/>
          <w:color w:val="FF0000"/>
        </w:rPr>
        <w:t>结合最新的规定予以补充或调整</w:t>
      </w:r>
      <w:r>
        <w:rPr>
          <w:rFonts w:hint="eastAsia" w:ascii="Times New Roman" w:hAnsi="Times New Roman" w:eastAsia="楷体_GB2312"/>
          <w:b/>
          <w:bCs/>
          <w:i/>
          <w:iCs/>
          <w:color w:val="FF0000"/>
        </w:rPr>
        <w:t>。】</w:t>
      </w:r>
    </w:p>
    <w:p w14:paraId="1D161713">
      <w:pPr>
        <w:rPr>
          <w:rFonts w:ascii="Times New Roman" w:hAnsi="Times New Roman" w:eastAsia="华文楷体"/>
        </w:rPr>
      </w:pPr>
    </w:p>
    <w:p w14:paraId="737FF563">
      <w:pPr>
        <w:rPr>
          <w:rFonts w:ascii="Times New Roman" w:hAnsi="Times New Roman" w:eastAsia="华文楷体"/>
        </w:rPr>
      </w:pPr>
      <w:r>
        <w:rPr>
          <w:rFonts w:ascii="Times New Roman" w:hAnsi="Times New Roman" w:eastAsia="华文楷体"/>
        </w:rPr>
        <w:br w:type="page"/>
      </w:r>
    </w:p>
    <w:tbl>
      <w:tblPr>
        <w:tblStyle w:val="30"/>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6"/>
      </w:tblGrid>
      <w:tr w14:paraId="2E24FE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tcBorders>
              <w:bottom w:val="single" w:color="auto" w:sz="4" w:space="0"/>
            </w:tcBorders>
          </w:tcPr>
          <w:p w14:paraId="0EF5CDBB">
            <w:pPr>
              <w:spacing w:line="380" w:lineRule="atLeast"/>
              <w:jc w:val="center"/>
              <w:rPr>
                <w:rFonts w:ascii="Times New Roman" w:hAnsi="Times New Roman" w:eastAsia="华文楷体"/>
                <w:b/>
                <w:sz w:val="28"/>
              </w:rPr>
            </w:pPr>
            <w:r>
              <w:rPr>
                <w:rFonts w:ascii="Times New Roman" w:hAnsi="Times New Roman" w:eastAsia="华文楷体"/>
                <w:b/>
                <w:sz w:val="28"/>
              </w:rPr>
              <w:t>【信托名称】</w:t>
            </w:r>
          </w:p>
          <w:p w14:paraId="06E22EAB">
            <w:pPr>
              <w:spacing w:line="380" w:lineRule="atLeast"/>
              <w:jc w:val="center"/>
              <w:rPr>
                <w:rFonts w:ascii="Times New Roman" w:hAnsi="Times New Roman" w:eastAsia="楷体_GB2312"/>
                <w:b/>
                <w:sz w:val="28"/>
              </w:rPr>
            </w:pPr>
            <w:r>
              <w:rPr>
                <w:rFonts w:ascii="Times New Roman" w:hAnsi="Times New Roman" w:eastAsia="华文楷体"/>
                <w:b/>
                <w:sz w:val="28"/>
              </w:rPr>
              <w:t>受托机构月度/年度报告</w:t>
            </w:r>
          </w:p>
        </w:tc>
      </w:tr>
      <w:tr w14:paraId="039D95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tcBorders>
              <w:top w:val="single" w:color="auto" w:sz="4" w:space="0"/>
              <w:bottom w:val="nil"/>
            </w:tcBorders>
          </w:tcPr>
          <w:p w14:paraId="5C3BF7C8">
            <w:pPr>
              <w:spacing w:line="380" w:lineRule="atLeast"/>
              <w:rPr>
                <w:rFonts w:ascii="Times New Roman" w:hAnsi="Times New Roman" w:eastAsia="华文楷体"/>
                <w:b/>
              </w:rPr>
            </w:pPr>
          </w:p>
        </w:tc>
      </w:tr>
      <w:tr w14:paraId="735EBC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tcBorders>
              <w:top w:val="nil"/>
              <w:bottom w:val="nil"/>
            </w:tcBorders>
          </w:tcPr>
          <w:p w14:paraId="4F7DA4F8">
            <w:pPr>
              <w:spacing w:line="380" w:lineRule="atLeast"/>
              <w:rPr>
                <w:rFonts w:ascii="Times New Roman" w:hAnsi="Times New Roman" w:eastAsia="华文楷体"/>
              </w:rPr>
            </w:pPr>
            <w:r>
              <w:rPr>
                <w:rFonts w:ascii="Times New Roman" w:hAnsi="Times New Roman" w:eastAsia="华文楷体"/>
              </w:rPr>
              <w:t>七、本期受托人依信托合同，将信托账户中的资金用于【】。本期信托账户收到利息收入【】元。</w:t>
            </w:r>
          </w:p>
          <w:p w14:paraId="222EAAE4">
            <w:pPr>
              <w:spacing w:line="380" w:lineRule="atLeast"/>
              <w:rPr>
                <w:rFonts w:ascii="Times New Roman" w:hAnsi="Times New Roman" w:eastAsia="华文楷体"/>
              </w:rPr>
            </w:pPr>
          </w:p>
        </w:tc>
      </w:tr>
      <w:tr w14:paraId="31DA19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tcPr>
          <w:p w14:paraId="147CF0DE">
            <w:pPr>
              <w:spacing w:line="380" w:lineRule="atLeast"/>
              <w:rPr>
                <w:rFonts w:ascii="Times New Roman" w:hAnsi="Times New Roman" w:eastAsia="华文楷体"/>
              </w:rPr>
            </w:pPr>
            <w:r>
              <w:rPr>
                <w:rFonts w:ascii="Times New Roman" w:hAnsi="Times New Roman" w:eastAsia="华文楷体"/>
              </w:rPr>
              <w:t>八、本期发生/未发生损害信托财产、委托人或者受益人利益等重大事项，（如发生）受托人采取的应对措施和解决情况如下：【】</w:t>
            </w:r>
          </w:p>
          <w:p w14:paraId="18312EB8">
            <w:pPr>
              <w:spacing w:line="380" w:lineRule="atLeast"/>
              <w:rPr>
                <w:rFonts w:ascii="Times New Roman" w:hAnsi="Times New Roman" w:eastAsia="华文楷体"/>
              </w:rPr>
            </w:pPr>
          </w:p>
        </w:tc>
      </w:tr>
      <w:tr w14:paraId="02E4F9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tcPr>
          <w:p w14:paraId="17211461">
            <w:pPr>
              <w:spacing w:line="380" w:lineRule="atLeast"/>
              <w:rPr>
                <w:rFonts w:ascii="Times New Roman" w:hAnsi="Times New Roman" w:eastAsia="华文楷体"/>
              </w:rPr>
            </w:pPr>
            <w:r>
              <w:rPr>
                <w:rFonts w:ascii="Times New Roman" w:hAnsi="Times New Roman" w:eastAsia="华文楷体"/>
              </w:rPr>
              <w:t>九、本期受托人如期正常地收到贷款服务机构报告及资金保管机构报告。</w:t>
            </w:r>
          </w:p>
          <w:p w14:paraId="6B179611">
            <w:pPr>
              <w:spacing w:line="380" w:lineRule="atLeast"/>
              <w:jc w:val="center"/>
              <w:rPr>
                <w:rFonts w:ascii="Times New Roman" w:hAnsi="Times New Roman" w:eastAsia="华文楷体"/>
              </w:rPr>
            </w:pPr>
          </w:p>
        </w:tc>
      </w:tr>
      <w:tr w14:paraId="6D044A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tcPr>
          <w:p w14:paraId="253C9A79">
            <w:pPr>
              <w:spacing w:line="380" w:lineRule="atLeast"/>
              <w:rPr>
                <w:rFonts w:ascii="Times New Roman" w:hAnsi="Times New Roman" w:eastAsia="华文楷体"/>
              </w:rPr>
            </w:pPr>
            <w:r>
              <w:rPr>
                <w:rFonts w:ascii="Times New Roman" w:hAnsi="Times New Roman" w:eastAsia="华文楷体"/>
              </w:rPr>
              <w:t>十、（如发生）由于本期贷款服务机构报告和资金保管机构报告金额的差异造成本期受托机构报告中某些金额不符，受托人正在督促以上两方进行核对、更正。（如发生）上期报告中差异更正如下：</w:t>
            </w:r>
          </w:p>
          <w:p w14:paraId="20FEE0D7">
            <w:pPr>
              <w:spacing w:line="380" w:lineRule="atLeast"/>
              <w:rPr>
                <w:rFonts w:ascii="Times New Roman" w:hAnsi="Times New Roman" w:eastAsia="华文楷体"/>
              </w:rPr>
            </w:pPr>
          </w:p>
        </w:tc>
      </w:tr>
      <w:tr w14:paraId="37F20A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tcPr>
          <w:p w14:paraId="589DC742">
            <w:pPr>
              <w:spacing w:line="380" w:lineRule="atLeast"/>
              <w:rPr>
                <w:rFonts w:ascii="Times New Roman" w:hAnsi="Times New Roman" w:eastAsia="华文楷体"/>
              </w:rPr>
            </w:pPr>
            <w:r>
              <w:rPr>
                <w:rFonts w:ascii="Times New Roman" w:hAnsi="Times New Roman" w:eastAsia="华文楷体"/>
              </w:rPr>
              <w:t>十一、备查文件：1.贷款服务机构报告；2.资金保管报告。</w:t>
            </w:r>
          </w:p>
        </w:tc>
      </w:tr>
    </w:tbl>
    <w:p w14:paraId="5B770987">
      <w:pPr>
        <w:rPr>
          <w:rFonts w:ascii="Times New Roman" w:hAnsi="Times New Roman" w:eastAsia="华文楷体"/>
        </w:rPr>
      </w:pPr>
    </w:p>
    <w:p w14:paraId="00B5643A">
      <w:pPr>
        <w:jc w:val="right"/>
        <w:rPr>
          <w:rFonts w:ascii="Times New Roman" w:hAnsi="Times New Roman" w:eastAsia="华文楷体"/>
        </w:rPr>
      </w:pPr>
      <w:r>
        <w:rPr>
          <w:rFonts w:ascii="Times New Roman" w:hAnsi="Times New Roman" w:eastAsia="华文楷体"/>
        </w:rPr>
        <w:t>【受托机构全称】（公章）</w:t>
      </w:r>
    </w:p>
    <w:p w14:paraId="49D2B2ED">
      <w:pPr>
        <w:jc w:val="right"/>
        <w:rPr>
          <w:rFonts w:ascii="Times New Roman" w:hAnsi="Times New Roman" w:eastAsia="华文楷体"/>
        </w:rPr>
      </w:pPr>
      <w:r>
        <w:rPr>
          <w:rFonts w:ascii="Times New Roman" w:hAnsi="Times New Roman" w:eastAsia="华文楷体"/>
        </w:rPr>
        <w:t>【】年【】月【】日</w:t>
      </w:r>
    </w:p>
    <w:p w14:paraId="33270E3C">
      <w:pPr>
        <w:rPr>
          <w:rFonts w:ascii="Times New Roman" w:hAnsi="Times New Roman" w:eastAsia="华文楷体"/>
        </w:rPr>
      </w:pPr>
      <w:r>
        <w:rPr>
          <w:rFonts w:ascii="Times New Roman" w:hAnsi="Times New Roman" w:eastAsia="华文楷体"/>
        </w:rPr>
        <w:br w:type="page"/>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6"/>
      </w:tblGrid>
      <w:tr w14:paraId="1C137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Borders>
              <w:top w:val="single" w:color="auto" w:sz="4" w:space="0"/>
              <w:left w:val="single" w:color="auto" w:sz="4" w:space="0"/>
              <w:bottom w:val="single" w:color="auto" w:sz="4" w:space="0"/>
              <w:right w:val="single" w:color="auto" w:sz="4" w:space="0"/>
            </w:tcBorders>
          </w:tcPr>
          <w:p w14:paraId="7C59D475">
            <w:pPr>
              <w:jc w:val="center"/>
              <w:rPr>
                <w:rFonts w:ascii="Times New Roman" w:hAnsi="Times New Roman" w:eastAsia="华文楷体"/>
                <w:b/>
                <w:sz w:val="28"/>
              </w:rPr>
            </w:pPr>
            <w:r>
              <w:rPr>
                <w:rFonts w:ascii="Times New Roman" w:hAnsi="Times New Roman" w:eastAsia="华文楷体"/>
                <w:b/>
                <w:sz w:val="28"/>
              </w:rPr>
              <w:t>【信托名称】</w:t>
            </w:r>
          </w:p>
          <w:p w14:paraId="1D388358">
            <w:pPr>
              <w:jc w:val="center"/>
              <w:rPr>
                <w:rFonts w:ascii="Times New Roman" w:hAnsi="Times New Roman" w:eastAsia="华文楷体"/>
                <w:b/>
                <w:sz w:val="28"/>
                <w:szCs w:val="28"/>
              </w:rPr>
            </w:pPr>
            <w:r>
              <w:rPr>
                <w:rFonts w:ascii="Times New Roman" w:hAnsi="Times New Roman" w:eastAsia="华文楷体"/>
                <w:b/>
                <w:sz w:val="28"/>
              </w:rPr>
              <w:t>受托机构月度/年度报告</w:t>
            </w:r>
          </w:p>
        </w:tc>
      </w:tr>
      <w:tr w14:paraId="7A4A8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32CBB366">
            <w:pPr>
              <w:rPr>
                <w:rFonts w:ascii="Times New Roman" w:hAnsi="Times New Roman" w:eastAsia="华文楷体"/>
                <w:b/>
                <w:szCs w:val="21"/>
              </w:rPr>
            </w:pPr>
            <w:r>
              <w:rPr>
                <w:rFonts w:ascii="Times New Roman" w:hAnsi="Times New Roman" w:eastAsia="华文楷体"/>
                <w:b/>
                <w:szCs w:val="21"/>
              </w:rPr>
              <w:t>指标释义：</w:t>
            </w:r>
          </w:p>
          <w:p w14:paraId="4BAE0D92">
            <w:pPr>
              <w:rPr>
                <w:rFonts w:ascii="Times New Roman" w:hAnsi="Times New Roman" w:eastAsia="华文楷体"/>
                <w:szCs w:val="21"/>
              </w:rPr>
            </w:pPr>
            <w:r>
              <w:rPr>
                <w:rFonts w:ascii="Times New Roman" w:hAnsi="Times New Roman" w:eastAsia="华文楷体"/>
                <w:szCs w:val="21"/>
              </w:rPr>
              <w:t>1.累计违约率：就某一“收款期间”而言，“资产池”的“累计违约率”系指A除以B所得的百分比，其中，A为该“收款期间”期末以及之前各“收款期间”期末的所有“违约贷款”的“未偿本金余额”之和（为避免疑义，同一笔“违约贷款”的“未偿本金余额”不累计计算，以其最早被统计的“收款期间”期末的“未偿本金余额”为准），B为“初始起算日资产池余额”。</w:t>
            </w:r>
          </w:p>
          <w:p w14:paraId="6F4B78BF">
            <w:pPr>
              <w:rPr>
                <w:rFonts w:ascii="Times New Roman" w:hAnsi="Times New Roman" w:eastAsia="华文楷体"/>
                <w:szCs w:val="21"/>
              </w:rPr>
            </w:pPr>
            <w:r>
              <w:rPr>
                <w:rFonts w:ascii="Times New Roman" w:hAnsi="Times New Roman" w:eastAsia="华文楷体"/>
                <w:szCs w:val="21"/>
              </w:rPr>
              <w:t>2.累计违约率监控指标：</w:t>
            </w:r>
            <w:bookmarkStart w:id="1774" w:name="_Ref204418483"/>
            <w:r>
              <w:rPr>
                <w:rFonts w:ascii="Times New Roman" w:hAnsi="Times New Roman" w:eastAsia="华文楷体"/>
                <w:szCs w:val="21"/>
              </w:rPr>
              <w:t>【】%</w:t>
            </w:r>
            <w:bookmarkEnd w:id="1774"/>
            <w:r>
              <w:rPr>
                <w:rFonts w:ascii="Times New Roman" w:hAnsi="Times New Roman" w:eastAsia="华文楷体"/>
                <w:szCs w:val="21"/>
              </w:rPr>
              <w:t>。</w:t>
            </w:r>
          </w:p>
          <w:p w14:paraId="3D642801">
            <w:pPr>
              <w:rPr>
                <w:rFonts w:ascii="Times New Roman" w:hAnsi="Times New Roman" w:eastAsia="华文楷体"/>
                <w:szCs w:val="21"/>
              </w:rPr>
            </w:pPr>
            <w:r>
              <w:rPr>
                <w:rFonts w:ascii="Times New Roman" w:hAnsi="Times New Roman" w:eastAsia="华文楷体"/>
                <w:szCs w:val="21"/>
              </w:rPr>
              <w:t>5.经处置目前无拖欠：经过非诉讼类和诉讼类处置过程，借款人还清所欠款项，目前无拖欠。</w:t>
            </w:r>
          </w:p>
          <w:p w14:paraId="465F8881">
            <w:pPr>
              <w:rPr>
                <w:rFonts w:ascii="Times New Roman" w:hAnsi="Times New Roman" w:eastAsia="华文楷体"/>
                <w:szCs w:val="21"/>
              </w:rPr>
            </w:pPr>
            <w:r>
              <w:rPr>
                <w:rFonts w:ascii="Times New Roman" w:hAnsi="Times New Roman" w:eastAsia="华文楷体"/>
                <w:szCs w:val="21"/>
              </w:rPr>
              <w:t>6.非诉讼类处置：含催收、协议、仲裁等各种非诉讼方式。</w:t>
            </w:r>
          </w:p>
          <w:p w14:paraId="5A04840B">
            <w:pPr>
              <w:rPr>
                <w:rFonts w:ascii="Times New Roman" w:hAnsi="Times New Roman" w:eastAsia="华文楷体"/>
                <w:sz w:val="18"/>
              </w:rPr>
            </w:pPr>
            <w:r>
              <w:rPr>
                <w:rFonts w:ascii="Times New Roman" w:hAnsi="Times New Roman" w:eastAsia="华文楷体"/>
                <w:szCs w:val="21"/>
              </w:rPr>
              <w:t>7.每个“支付日”“优先级资产支持证券”的利息=“优先级资产支持证券”在该“支付日”本金兑付前的“未偿本金余额”(就第一个“支付日”而言，即“优先级资产支持证券”在“信托生效日”的面值)×票面利率×“计息期间”实际天数÷365；尾数计算到分，分以下四舍五入；单利计息。</w:t>
            </w:r>
          </w:p>
        </w:tc>
      </w:tr>
    </w:tbl>
    <w:p w14:paraId="1880C56E">
      <w:pPr>
        <w:spacing w:line="560" w:lineRule="exact"/>
        <w:rPr>
          <w:rFonts w:ascii="Times New Roman" w:hAnsi="Times New Roman" w:eastAsia="方正仿宋_GBK"/>
          <w:sz w:val="24"/>
          <w:szCs w:val="32"/>
        </w:rPr>
      </w:pPr>
    </w:p>
    <w:p w14:paraId="1F22CAA1">
      <w:pPr>
        <w:widowControl/>
        <w:jc w:val="left"/>
        <w:rPr>
          <w:rFonts w:ascii="Times New Roman" w:hAnsi="Times New Roman" w:eastAsia="方正仿宋_GBK"/>
          <w:sz w:val="24"/>
          <w:szCs w:val="32"/>
        </w:rPr>
      </w:pPr>
      <w:r>
        <w:rPr>
          <w:rFonts w:ascii="Times New Roman" w:hAnsi="Times New Roman" w:eastAsia="方正仿宋_GBK"/>
          <w:sz w:val="24"/>
          <w:szCs w:val="32"/>
        </w:rPr>
        <w:br w:type="page"/>
      </w:r>
    </w:p>
    <w:p w14:paraId="14C448C6">
      <w:pPr>
        <w:spacing w:line="360" w:lineRule="auto"/>
        <w:outlineLvl w:val="0"/>
        <w:rPr>
          <w:rFonts w:eastAsia="楷体_GB2312"/>
          <w:b/>
          <w:color w:val="000000"/>
          <w:sz w:val="24"/>
        </w:rPr>
      </w:pPr>
      <w:bookmarkStart w:id="1775" w:name="_Toc418802629"/>
      <w:bookmarkStart w:id="1776" w:name="_Toc225538190"/>
      <w:bookmarkStart w:id="1777" w:name="_Toc227694362"/>
      <w:bookmarkStart w:id="1778" w:name="_Toc219710709"/>
      <w:r>
        <w:rPr>
          <w:rFonts w:eastAsia="楷体_GB2312"/>
          <w:b/>
          <w:color w:val="000000"/>
          <w:sz w:val="24"/>
        </w:rPr>
        <w:t>附件十一：重大事件报告书</w:t>
      </w:r>
      <w:bookmarkEnd w:id="1775"/>
      <w:r>
        <w:rPr>
          <w:rFonts w:eastAsia="楷体_GB2312"/>
          <w:b/>
          <w:color w:val="000000"/>
          <w:sz w:val="24"/>
        </w:rPr>
        <w:t>参考格式</w:t>
      </w:r>
      <w:bookmarkEnd w:id="1776"/>
      <w:bookmarkEnd w:id="1777"/>
      <w:bookmarkEnd w:id="1778"/>
    </w:p>
    <w:p w14:paraId="492895F1">
      <w:pPr>
        <w:spacing w:line="360" w:lineRule="auto"/>
        <w:jc w:val="center"/>
        <w:rPr>
          <w:rFonts w:eastAsia="楷体_GB2312"/>
          <w:b/>
          <w:color w:val="000000"/>
          <w:sz w:val="32"/>
          <w:szCs w:val="32"/>
        </w:rPr>
      </w:pPr>
      <w:r>
        <w:rPr>
          <w:rFonts w:eastAsia="楷体_GB2312"/>
          <w:b/>
          <w:color w:val="000000"/>
          <w:sz w:val="32"/>
          <w:szCs w:val="32"/>
        </w:rPr>
        <w:t>信托名称</w:t>
      </w:r>
    </w:p>
    <w:p w14:paraId="350D195D">
      <w:pPr>
        <w:spacing w:line="360" w:lineRule="auto"/>
        <w:jc w:val="center"/>
        <w:rPr>
          <w:rFonts w:eastAsia="楷体_GB2312"/>
          <w:b/>
          <w:color w:val="000000"/>
          <w:sz w:val="44"/>
        </w:rPr>
      </w:pPr>
      <w:r>
        <w:rPr>
          <w:rFonts w:eastAsia="楷体_GB2312"/>
          <w:b/>
          <w:color w:val="000000"/>
          <w:sz w:val="32"/>
          <w:szCs w:val="32"/>
        </w:rPr>
        <w:t>重大事件报告书</w:t>
      </w:r>
    </w:p>
    <w:p w14:paraId="5292E451">
      <w:pPr>
        <w:spacing w:line="360" w:lineRule="auto"/>
        <w:jc w:val="center"/>
        <w:rPr>
          <w:rFonts w:eastAsia="楷体_GB2312"/>
          <w:b/>
          <w:color w:val="000000"/>
          <w:sz w:val="44"/>
        </w:rPr>
      </w:pPr>
    </w:p>
    <w:p w14:paraId="684DE7F7">
      <w:pPr>
        <w:spacing w:line="360" w:lineRule="auto"/>
        <w:rPr>
          <w:rFonts w:eastAsia="楷体_GB2312"/>
          <w:b/>
          <w:color w:val="000000"/>
        </w:rPr>
      </w:pPr>
    </w:p>
    <w:tbl>
      <w:tblPr>
        <w:tblStyle w:val="30"/>
        <w:tblW w:w="0" w:type="dxa"/>
        <w:jc w:val="center"/>
        <w:tblLayout w:type="fixed"/>
        <w:tblCellMar>
          <w:top w:w="0" w:type="dxa"/>
          <w:left w:w="0" w:type="dxa"/>
          <w:bottom w:w="0" w:type="dxa"/>
          <w:right w:w="0" w:type="dxa"/>
        </w:tblCellMar>
      </w:tblPr>
      <w:tblGrid>
        <w:gridCol w:w="6360"/>
      </w:tblGrid>
      <w:tr w14:paraId="3D8E5F5E">
        <w:tblPrEx>
          <w:tblCellMar>
            <w:top w:w="0" w:type="dxa"/>
            <w:left w:w="0" w:type="dxa"/>
            <w:bottom w:w="0" w:type="dxa"/>
            <w:right w:w="0" w:type="dxa"/>
          </w:tblCellMar>
        </w:tblPrEx>
        <w:trPr>
          <w:trHeight w:val="1508" w:hRule="atLeast"/>
          <w:jc w:val="center"/>
        </w:trPr>
        <w:tc>
          <w:tcPr>
            <w:tcW w:w="6360" w:type="dxa"/>
            <w:tcBorders>
              <w:top w:val="single" w:color="auto" w:sz="8" w:space="0"/>
              <w:left w:val="single" w:color="auto" w:sz="8" w:space="0"/>
              <w:bottom w:val="single" w:color="auto" w:sz="8" w:space="0"/>
              <w:right w:val="single" w:color="auto" w:sz="8" w:space="0"/>
            </w:tcBorders>
          </w:tcPr>
          <w:p w14:paraId="0FC8E831">
            <w:pPr>
              <w:spacing w:line="360" w:lineRule="auto"/>
              <w:jc w:val="center"/>
              <w:rPr>
                <w:rFonts w:eastAsia="楷体_GB2312"/>
                <w:b/>
                <w:color w:val="000000"/>
              </w:rPr>
            </w:pPr>
            <w:r>
              <w:rPr>
                <w:rFonts w:eastAsia="楷体_GB2312"/>
                <w:b/>
                <w:color w:val="000000"/>
              </w:rPr>
              <w:t>受托人声明</w:t>
            </w:r>
          </w:p>
          <w:p w14:paraId="29806423">
            <w:pPr>
              <w:spacing w:line="360" w:lineRule="auto"/>
              <w:ind w:firstLine="422" w:firstLineChars="200"/>
              <w:rPr>
                <w:rFonts w:eastAsia="楷体_GB2312"/>
                <w:b/>
                <w:color w:val="000000"/>
              </w:rPr>
            </w:pPr>
            <w:r>
              <w:rPr>
                <w:rFonts w:eastAsia="楷体_GB2312"/>
                <w:b/>
                <w:color w:val="000000"/>
              </w:rPr>
              <w:t>受托人管理信托财产应恪尽职守，履行诚实、信用、谨慎、有效管理义务。依据信托合同约定管理信托财产所产生的风险，由信托财产承担，即由委托人交付的财产以及由受托人对该财产运用后形成的财产承担；受托人违背信托合同、处理信托事务不当使信托财产受到损失，由受托人赔偿。</w:t>
            </w:r>
          </w:p>
        </w:tc>
      </w:tr>
    </w:tbl>
    <w:p w14:paraId="19ED6C06">
      <w:pPr>
        <w:spacing w:line="360" w:lineRule="auto"/>
        <w:jc w:val="center"/>
        <w:rPr>
          <w:rFonts w:eastAsia="楷体_GB2312"/>
          <w:b/>
          <w:color w:val="000000"/>
        </w:rPr>
      </w:pPr>
    </w:p>
    <w:tbl>
      <w:tblPr>
        <w:tblStyle w:val="30"/>
        <w:tblW w:w="0" w:type="dxa"/>
        <w:jc w:val="center"/>
        <w:tblLayout w:type="fixed"/>
        <w:tblCellMar>
          <w:top w:w="0" w:type="dxa"/>
          <w:left w:w="0" w:type="dxa"/>
          <w:bottom w:w="0" w:type="dxa"/>
          <w:right w:w="0" w:type="dxa"/>
        </w:tblCellMar>
      </w:tblPr>
      <w:tblGrid>
        <w:gridCol w:w="1680"/>
        <w:gridCol w:w="5670"/>
      </w:tblGrid>
      <w:tr w14:paraId="4973FFAF">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4455D19C">
            <w:pPr>
              <w:spacing w:line="360" w:lineRule="auto"/>
              <w:jc w:val="right"/>
              <w:rPr>
                <w:rFonts w:eastAsia="楷体_GB2312"/>
                <w:b/>
                <w:color w:val="000000"/>
              </w:rPr>
            </w:pPr>
            <w:r>
              <w:rPr>
                <w:rFonts w:eastAsia="楷体_GB2312"/>
                <w:b/>
                <w:color w:val="000000"/>
              </w:rPr>
              <w:t>受托人：</w:t>
            </w:r>
          </w:p>
        </w:tc>
        <w:tc>
          <w:tcPr>
            <w:tcW w:w="5670" w:type="dxa"/>
            <w:tcBorders>
              <w:top w:val="nil"/>
              <w:left w:val="nil"/>
              <w:bottom w:val="nil"/>
              <w:right w:val="nil"/>
            </w:tcBorders>
            <w:vAlign w:val="bottom"/>
          </w:tcPr>
          <w:p w14:paraId="2B5726B0">
            <w:pPr>
              <w:spacing w:line="360" w:lineRule="auto"/>
              <w:rPr>
                <w:rFonts w:eastAsia="楷体_GB2312"/>
                <w:b/>
                <w:color w:val="000000"/>
              </w:rPr>
            </w:pPr>
            <w:r>
              <w:rPr>
                <w:rFonts w:eastAsia="楷体_GB2312"/>
                <w:b/>
                <w:color w:val="000000"/>
              </w:rPr>
              <w:t>【受托机构全称】</w:t>
            </w:r>
          </w:p>
        </w:tc>
      </w:tr>
      <w:tr w14:paraId="44580497">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0224BCF0">
            <w:pPr>
              <w:spacing w:line="360" w:lineRule="auto"/>
              <w:jc w:val="right"/>
              <w:rPr>
                <w:rFonts w:eastAsia="楷体_GB2312"/>
                <w:b/>
                <w:color w:val="000000"/>
              </w:rPr>
            </w:pPr>
            <w:r>
              <w:rPr>
                <w:rFonts w:eastAsia="楷体_GB2312"/>
                <w:b/>
                <w:color w:val="000000"/>
              </w:rPr>
              <w:t>报告日期：</w:t>
            </w:r>
          </w:p>
        </w:tc>
        <w:tc>
          <w:tcPr>
            <w:tcW w:w="5670" w:type="dxa"/>
            <w:tcBorders>
              <w:top w:val="nil"/>
              <w:left w:val="nil"/>
              <w:bottom w:val="nil"/>
              <w:right w:val="nil"/>
            </w:tcBorders>
            <w:vAlign w:val="bottom"/>
          </w:tcPr>
          <w:p w14:paraId="5670E6ED">
            <w:pPr>
              <w:spacing w:line="360" w:lineRule="auto"/>
              <w:rPr>
                <w:rFonts w:eastAsia="楷体_GB2312"/>
                <w:b/>
                <w:color w:val="000000"/>
              </w:rPr>
            </w:pPr>
            <w:r>
              <w:rPr>
                <w:rFonts w:eastAsia="楷体_GB2312"/>
                <w:b/>
                <w:color w:val="000000"/>
              </w:rPr>
              <w:t>20XX年XX月XX日</w:t>
            </w:r>
          </w:p>
        </w:tc>
      </w:tr>
      <w:tr w14:paraId="0E8C6682">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7FB4F450">
            <w:pPr>
              <w:spacing w:line="360" w:lineRule="auto"/>
              <w:jc w:val="right"/>
              <w:rPr>
                <w:rFonts w:eastAsia="楷体_GB2312"/>
                <w:b/>
                <w:color w:val="000000"/>
              </w:rPr>
            </w:pPr>
          </w:p>
        </w:tc>
        <w:tc>
          <w:tcPr>
            <w:tcW w:w="5670" w:type="dxa"/>
            <w:tcBorders>
              <w:top w:val="nil"/>
              <w:left w:val="nil"/>
              <w:bottom w:val="nil"/>
              <w:right w:val="nil"/>
            </w:tcBorders>
            <w:vAlign w:val="bottom"/>
          </w:tcPr>
          <w:p w14:paraId="5C0D8AA3">
            <w:pPr>
              <w:spacing w:line="360" w:lineRule="auto"/>
              <w:rPr>
                <w:rFonts w:eastAsia="楷体_GB2312"/>
                <w:b/>
                <w:color w:val="000000"/>
              </w:rPr>
            </w:pPr>
          </w:p>
        </w:tc>
      </w:tr>
      <w:tr w14:paraId="1F6591FB">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3B455428">
            <w:pPr>
              <w:spacing w:line="360" w:lineRule="auto"/>
              <w:jc w:val="right"/>
              <w:rPr>
                <w:rFonts w:eastAsia="楷体_GB2312"/>
                <w:b/>
                <w:color w:val="000000"/>
              </w:rPr>
            </w:pPr>
          </w:p>
        </w:tc>
        <w:tc>
          <w:tcPr>
            <w:tcW w:w="5670" w:type="dxa"/>
            <w:tcBorders>
              <w:top w:val="nil"/>
              <w:left w:val="nil"/>
              <w:bottom w:val="nil"/>
              <w:right w:val="nil"/>
            </w:tcBorders>
            <w:vAlign w:val="bottom"/>
          </w:tcPr>
          <w:p w14:paraId="6DBA4E95">
            <w:pPr>
              <w:spacing w:line="360" w:lineRule="auto"/>
              <w:rPr>
                <w:rFonts w:eastAsia="楷体_GB2312"/>
                <w:b/>
                <w:color w:val="000000"/>
              </w:rPr>
            </w:pPr>
          </w:p>
        </w:tc>
      </w:tr>
      <w:tr w14:paraId="6CF5F924">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169E1ABC">
            <w:pPr>
              <w:spacing w:line="360" w:lineRule="auto"/>
              <w:jc w:val="right"/>
              <w:rPr>
                <w:rFonts w:eastAsia="楷体_GB2312"/>
                <w:b/>
                <w:color w:val="000000"/>
              </w:rPr>
            </w:pPr>
            <w:r>
              <w:rPr>
                <w:rFonts w:eastAsia="楷体_GB2312"/>
                <w:b/>
                <w:color w:val="000000"/>
              </w:rPr>
              <w:t>受托人地址：</w:t>
            </w:r>
          </w:p>
        </w:tc>
        <w:tc>
          <w:tcPr>
            <w:tcW w:w="5670" w:type="dxa"/>
            <w:tcBorders>
              <w:top w:val="nil"/>
              <w:left w:val="nil"/>
              <w:bottom w:val="nil"/>
              <w:right w:val="nil"/>
            </w:tcBorders>
            <w:vAlign w:val="bottom"/>
          </w:tcPr>
          <w:p w14:paraId="4A745BE3">
            <w:pPr>
              <w:spacing w:line="360" w:lineRule="auto"/>
              <w:rPr>
                <w:rFonts w:eastAsia="楷体_GB2312"/>
                <w:color w:val="000000"/>
              </w:rPr>
            </w:pPr>
          </w:p>
        </w:tc>
      </w:tr>
      <w:tr w14:paraId="60C34E29">
        <w:tblPrEx>
          <w:tblCellMar>
            <w:top w:w="0" w:type="dxa"/>
            <w:left w:w="0" w:type="dxa"/>
            <w:bottom w:w="0" w:type="dxa"/>
            <w:right w:w="0" w:type="dxa"/>
          </w:tblCellMar>
        </w:tblPrEx>
        <w:trPr>
          <w:trHeight w:val="531" w:hRule="atLeast"/>
          <w:jc w:val="center"/>
        </w:trPr>
        <w:tc>
          <w:tcPr>
            <w:tcW w:w="1680" w:type="dxa"/>
            <w:tcBorders>
              <w:top w:val="nil"/>
              <w:left w:val="nil"/>
              <w:bottom w:val="nil"/>
              <w:right w:val="nil"/>
            </w:tcBorders>
            <w:vAlign w:val="bottom"/>
          </w:tcPr>
          <w:p w14:paraId="3363C693">
            <w:pPr>
              <w:spacing w:line="360" w:lineRule="auto"/>
              <w:jc w:val="right"/>
              <w:rPr>
                <w:rFonts w:eastAsia="楷体_GB2312"/>
                <w:b/>
                <w:color w:val="000000"/>
              </w:rPr>
            </w:pPr>
            <w:r>
              <w:rPr>
                <w:rFonts w:eastAsia="楷体_GB2312"/>
                <w:b/>
                <w:color w:val="000000"/>
              </w:rPr>
              <w:t>电话：</w:t>
            </w:r>
          </w:p>
        </w:tc>
        <w:tc>
          <w:tcPr>
            <w:tcW w:w="5670" w:type="dxa"/>
            <w:tcBorders>
              <w:top w:val="nil"/>
              <w:left w:val="nil"/>
              <w:bottom w:val="nil"/>
              <w:right w:val="nil"/>
            </w:tcBorders>
            <w:vAlign w:val="bottom"/>
          </w:tcPr>
          <w:p w14:paraId="15C5CFD8">
            <w:pPr>
              <w:spacing w:line="360" w:lineRule="auto"/>
              <w:rPr>
                <w:rFonts w:eastAsia="楷体_GB2312"/>
                <w:b/>
                <w:color w:val="000000"/>
              </w:rPr>
            </w:pPr>
          </w:p>
        </w:tc>
      </w:tr>
      <w:tr w14:paraId="08FB2D45">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3F9A59AE">
            <w:pPr>
              <w:spacing w:line="360" w:lineRule="auto"/>
              <w:jc w:val="right"/>
              <w:rPr>
                <w:rFonts w:eastAsia="楷体_GB2312"/>
                <w:b/>
                <w:color w:val="000000"/>
              </w:rPr>
            </w:pPr>
            <w:r>
              <w:rPr>
                <w:rFonts w:eastAsia="楷体_GB2312"/>
                <w:b/>
                <w:color w:val="000000"/>
              </w:rPr>
              <w:t>传真：</w:t>
            </w:r>
          </w:p>
        </w:tc>
        <w:tc>
          <w:tcPr>
            <w:tcW w:w="5670" w:type="dxa"/>
            <w:tcBorders>
              <w:top w:val="nil"/>
              <w:left w:val="nil"/>
              <w:bottom w:val="nil"/>
              <w:right w:val="nil"/>
            </w:tcBorders>
            <w:vAlign w:val="bottom"/>
          </w:tcPr>
          <w:p w14:paraId="1F6F396F">
            <w:pPr>
              <w:spacing w:line="360" w:lineRule="auto"/>
              <w:rPr>
                <w:rFonts w:eastAsia="楷体_GB2312"/>
                <w:b/>
                <w:color w:val="000000"/>
              </w:rPr>
            </w:pPr>
          </w:p>
        </w:tc>
      </w:tr>
      <w:tr w14:paraId="139BB6E1">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270470A8">
            <w:pPr>
              <w:spacing w:line="360" w:lineRule="auto"/>
              <w:jc w:val="right"/>
              <w:rPr>
                <w:rFonts w:eastAsia="楷体_GB2312"/>
                <w:b/>
                <w:color w:val="000000"/>
              </w:rPr>
            </w:pPr>
            <w:r>
              <w:rPr>
                <w:rFonts w:eastAsia="楷体_GB2312"/>
                <w:b/>
                <w:color w:val="000000"/>
              </w:rPr>
              <w:t>公司网址：</w:t>
            </w:r>
          </w:p>
        </w:tc>
        <w:tc>
          <w:tcPr>
            <w:tcW w:w="5670" w:type="dxa"/>
            <w:tcBorders>
              <w:top w:val="nil"/>
              <w:left w:val="nil"/>
              <w:bottom w:val="nil"/>
              <w:right w:val="nil"/>
            </w:tcBorders>
            <w:vAlign w:val="bottom"/>
          </w:tcPr>
          <w:p w14:paraId="7062A689">
            <w:pPr>
              <w:spacing w:line="360" w:lineRule="auto"/>
              <w:rPr>
                <w:rFonts w:eastAsia="楷体_GB2312"/>
                <w:b/>
                <w:color w:val="000000"/>
              </w:rPr>
            </w:pPr>
          </w:p>
        </w:tc>
      </w:tr>
      <w:tr w14:paraId="26E7ED51">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57C398CC">
            <w:pPr>
              <w:spacing w:line="360" w:lineRule="auto"/>
              <w:jc w:val="right"/>
              <w:rPr>
                <w:rFonts w:eastAsia="楷体_GB2312"/>
                <w:b/>
                <w:color w:val="000000"/>
              </w:rPr>
            </w:pPr>
            <w:r>
              <w:rPr>
                <w:rFonts w:eastAsia="楷体_GB2312"/>
                <w:b/>
                <w:color w:val="000000"/>
              </w:rPr>
              <w:t>电子邮件：</w:t>
            </w:r>
          </w:p>
        </w:tc>
        <w:tc>
          <w:tcPr>
            <w:tcW w:w="5670" w:type="dxa"/>
            <w:tcBorders>
              <w:top w:val="nil"/>
              <w:left w:val="nil"/>
              <w:bottom w:val="nil"/>
              <w:right w:val="nil"/>
            </w:tcBorders>
            <w:vAlign w:val="bottom"/>
          </w:tcPr>
          <w:p w14:paraId="05C9B9C2">
            <w:pPr>
              <w:spacing w:line="360" w:lineRule="auto"/>
              <w:rPr>
                <w:rFonts w:eastAsia="楷体_GB2312"/>
                <w:b/>
                <w:color w:val="000000"/>
              </w:rPr>
            </w:pPr>
          </w:p>
        </w:tc>
      </w:tr>
    </w:tbl>
    <w:p w14:paraId="2A880BDA">
      <w:pPr>
        <w:spacing w:line="360" w:lineRule="auto"/>
        <w:rPr>
          <w:rFonts w:eastAsia="楷体_GB2312"/>
          <w:color w:val="000000"/>
          <w:sz w:val="32"/>
        </w:rPr>
      </w:pPr>
    </w:p>
    <w:p w14:paraId="403B725A">
      <w:pPr>
        <w:rPr>
          <w:rFonts w:eastAsia="楷体_GB2312"/>
        </w:rPr>
      </w:pPr>
      <w:r>
        <w:rPr>
          <w:rFonts w:eastAsia="楷体_GB2312"/>
        </w:rPr>
        <w:br w:type="page"/>
      </w:r>
    </w:p>
    <w:tbl>
      <w:tblPr>
        <w:tblStyle w:val="30"/>
        <w:tblW w:w="879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830"/>
        <w:gridCol w:w="1106"/>
        <w:gridCol w:w="4859"/>
      </w:tblGrid>
      <w:tr w14:paraId="3BD73E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795" w:type="dxa"/>
            <w:gridSpan w:val="3"/>
            <w:tcBorders>
              <w:bottom w:val="single" w:color="auto" w:sz="4" w:space="0"/>
            </w:tcBorders>
          </w:tcPr>
          <w:p w14:paraId="439EBD76">
            <w:pPr>
              <w:spacing w:line="360" w:lineRule="auto"/>
              <w:jc w:val="center"/>
              <w:rPr>
                <w:rFonts w:eastAsia="楷体_GB2312"/>
                <w:b/>
                <w:color w:val="000000"/>
                <w:sz w:val="28"/>
              </w:rPr>
            </w:pPr>
            <w:r>
              <w:rPr>
                <w:rFonts w:eastAsia="楷体_GB2312"/>
                <w:b/>
                <w:color w:val="000000"/>
                <w:sz w:val="28"/>
              </w:rPr>
              <w:t>信托名称重大事件报告书</w:t>
            </w:r>
          </w:p>
        </w:tc>
      </w:tr>
      <w:tr w14:paraId="1A7618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4B8EE7EC">
            <w:pPr>
              <w:spacing w:line="360" w:lineRule="auto"/>
              <w:jc w:val="left"/>
              <w:rPr>
                <w:rFonts w:eastAsia="楷体_GB2312"/>
                <w:b/>
                <w:color w:val="000000"/>
              </w:rPr>
            </w:pPr>
            <w:r>
              <w:rPr>
                <w:rFonts w:eastAsia="楷体_GB2312"/>
                <w:b/>
                <w:color w:val="000000"/>
              </w:rPr>
              <w:t>事项</w:t>
            </w:r>
          </w:p>
        </w:tc>
        <w:tc>
          <w:tcPr>
            <w:tcW w:w="1106" w:type="dxa"/>
            <w:tcBorders>
              <w:top w:val="single" w:color="auto" w:sz="4" w:space="0"/>
              <w:left w:val="single" w:color="auto" w:sz="4" w:space="0"/>
              <w:bottom w:val="single" w:color="auto" w:sz="4" w:space="0"/>
              <w:right w:val="single" w:color="auto" w:sz="4" w:space="0"/>
            </w:tcBorders>
          </w:tcPr>
          <w:p w14:paraId="44642DF6">
            <w:pPr>
              <w:spacing w:line="360" w:lineRule="auto"/>
              <w:jc w:val="center"/>
              <w:rPr>
                <w:rFonts w:eastAsia="楷体_GB2312"/>
                <w:b/>
                <w:color w:val="000000"/>
              </w:rPr>
            </w:pPr>
            <w:r>
              <w:rPr>
                <w:rFonts w:eastAsia="楷体_GB2312"/>
                <w:b/>
                <w:color w:val="000000"/>
              </w:rPr>
              <w:t>是否发生</w:t>
            </w:r>
          </w:p>
        </w:tc>
        <w:tc>
          <w:tcPr>
            <w:tcW w:w="4859" w:type="dxa"/>
            <w:tcBorders>
              <w:top w:val="single" w:color="auto" w:sz="4" w:space="0"/>
              <w:left w:val="single" w:color="auto" w:sz="4" w:space="0"/>
              <w:bottom w:val="single" w:color="auto" w:sz="4" w:space="0"/>
            </w:tcBorders>
          </w:tcPr>
          <w:p w14:paraId="52441F6A">
            <w:pPr>
              <w:spacing w:line="360" w:lineRule="auto"/>
              <w:jc w:val="center"/>
              <w:rPr>
                <w:rFonts w:eastAsia="楷体_GB2312"/>
                <w:b/>
                <w:color w:val="000000"/>
              </w:rPr>
            </w:pPr>
            <w:r>
              <w:rPr>
                <w:rFonts w:eastAsia="楷体_GB2312"/>
                <w:b/>
                <w:color w:val="000000"/>
              </w:rPr>
              <w:t>备注</w:t>
            </w:r>
          </w:p>
        </w:tc>
      </w:tr>
      <w:tr w14:paraId="6462F0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3F9D5F4B">
            <w:pPr>
              <w:pStyle w:val="115"/>
              <w:numPr>
                <w:ilvl w:val="0"/>
                <w:numId w:val="52"/>
              </w:numPr>
              <w:spacing w:line="360" w:lineRule="auto"/>
              <w:ind w:firstLineChars="0"/>
              <w:rPr>
                <w:rFonts w:eastAsia="楷体_GB2312"/>
                <w:color w:val="000000"/>
                <w:sz w:val="20"/>
              </w:rPr>
            </w:pPr>
            <w:r>
              <w:rPr>
                <w:rFonts w:hint="eastAsia" w:eastAsia="楷体_GB2312"/>
                <w:color w:val="000000"/>
                <w:sz w:val="20"/>
              </w:rPr>
              <w:t>加速清偿事件</w:t>
            </w:r>
          </w:p>
        </w:tc>
        <w:tc>
          <w:tcPr>
            <w:tcW w:w="1106" w:type="dxa"/>
            <w:tcBorders>
              <w:top w:val="single" w:color="auto" w:sz="4" w:space="0"/>
              <w:left w:val="single" w:color="auto" w:sz="4" w:space="0"/>
              <w:bottom w:val="single" w:color="auto" w:sz="4" w:space="0"/>
              <w:right w:val="single" w:color="auto" w:sz="4" w:space="0"/>
            </w:tcBorders>
          </w:tcPr>
          <w:p w14:paraId="135D8DCD">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0715A4E1">
            <w:pPr>
              <w:spacing w:line="360" w:lineRule="auto"/>
              <w:jc w:val="center"/>
              <w:rPr>
                <w:rFonts w:eastAsia="楷体_GB2312"/>
                <w:color w:val="000000"/>
                <w:sz w:val="18"/>
              </w:rPr>
            </w:pPr>
          </w:p>
        </w:tc>
      </w:tr>
      <w:tr w14:paraId="594BDB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42A10CC7">
            <w:pPr>
              <w:pStyle w:val="115"/>
              <w:numPr>
                <w:ilvl w:val="0"/>
                <w:numId w:val="52"/>
              </w:numPr>
              <w:spacing w:line="360" w:lineRule="auto"/>
              <w:ind w:firstLineChars="0"/>
              <w:rPr>
                <w:rFonts w:eastAsia="楷体_GB2312"/>
                <w:color w:val="000000"/>
                <w:sz w:val="20"/>
              </w:rPr>
            </w:pPr>
            <w:r>
              <w:rPr>
                <w:rFonts w:eastAsia="楷体_GB2312"/>
                <w:color w:val="000000"/>
                <w:sz w:val="20"/>
              </w:rPr>
              <w:t>违约事件</w:t>
            </w:r>
          </w:p>
        </w:tc>
        <w:tc>
          <w:tcPr>
            <w:tcW w:w="1106" w:type="dxa"/>
            <w:tcBorders>
              <w:top w:val="single" w:color="auto" w:sz="4" w:space="0"/>
              <w:left w:val="single" w:color="auto" w:sz="4" w:space="0"/>
              <w:bottom w:val="single" w:color="auto" w:sz="4" w:space="0"/>
              <w:right w:val="single" w:color="auto" w:sz="4" w:space="0"/>
            </w:tcBorders>
          </w:tcPr>
          <w:p w14:paraId="3773FC25">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779CE6B6">
            <w:pPr>
              <w:spacing w:line="360" w:lineRule="auto"/>
              <w:jc w:val="center"/>
              <w:rPr>
                <w:rFonts w:eastAsia="楷体_GB2312"/>
                <w:color w:val="000000"/>
                <w:sz w:val="18"/>
              </w:rPr>
            </w:pPr>
          </w:p>
        </w:tc>
      </w:tr>
      <w:tr w14:paraId="44C1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4E1FD3E5">
            <w:pPr>
              <w:pStyle w:val="115"/>
              <w:numPr>
                <w:ilvl w:val="0"/>
                <w:numId w:val="52"/>
              </w:numPr>
              <w:spacing w:line="360" w:lineRule="auto"/>
              <w:ind w:left="0" w:firstLine="0" w:firstLineChars="0"/>
              <w:rPr>
                <w:rFonts w:eastAsia="楷体_GB2312"/>
                <w:color w:val="000000"/>
                <w:sz w:val="20"/>
              </w:rPr>
            </w:pPr>
            <w:r>
              <w:rPr>
                <w:rFonts w:eastAsia="楷体_GB2312"/>
                <w:color w:val="000000"/>
                <w:sz w:val="20"/>
              </w:rPr>
              <w:t>权利完善事件</w:t>
            </w:r>
            <w:r>
              <w:rPr>
                <w:rFonts w:hint="eastAsia" w:eastAsia="楷体_GB2312"/>
                <w:color w:val="000000"/>
                <w:sz w:val="20"/>
              </w:rPr>
              <w:t>/</w:t>
            </w:r>
            <w:r>
              <w:rPr>
                <w:rFonts w:eastAsia="楷体_GB2312"/>
                <w:color w:val="000000"/>
                <w:sz w:val="20"/>
              </w:rPr>
              <w:t>个别通知事件</w:t>
            </w:r>
          </w:p>
        </w:tc>
        <w:tc>
          <w:tcPr>
            <w:tcW w:w="1106" w:type="dxa"/>
            <w:tcBorders>
              <w:top w:val="single" w:color="auto" w:sz="4" w:space="0"/>
              <w:left w:val="single" w:color="auto" w:sz="4" w:space="0"/>
              <w:bottom w:val="single" w:color="auto" w:sz="4" w:space="0"/>
              <w:right w:val="single" w:color="auto" w:sz="4" w:space="0"/>
            </w:tcBorders>
          </w:tcPr>
          <w:p w14:paraId="3610E54A">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41390D57">
            <w:pPr>
              <w:spacing w:line="360" w:lineRule="auto"/>
              <w:jc w:val="center"/>
              <w:rPr>
                <w:rFonts w:eastAsia="楷体_GB2312"/>
                <w:color w:val="000000"/>
                <w:sz w:val="18"/>
              </w:rPr>
            </w:pPr>
          </w:p>
        </w:tc>
      </w:tr>
      <w:tr w14:paraId="2C1AF2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2830" w:type="dxa"/>
            <w:tcBorders>
              <w:top w:val="single" w:color="auto" w:sz="4" w:space="0"/>
              <w:bottom w:val="single" w:color="auto" w:sz="4" w:space="0"/>
              <w:right w:val="single" w:color="auto" w:sz="4" w:space="0"/>
            </w:tcBorders>
          </w:tcPr>
          <w:p w14:paraId="54CC19DE">
            <w:pPr>
              <w:pStyle w:val="115"/>
              <w:numPr>
                <w:ilvl w:val="0"/>
                <w:numId w:val="52"/>
              </w:numPr>
              <w:spacing w:line="360" w:lineRule="auto"/>
              <w:ind w:firstLineChars="0"/>
              <w:rPr>
                <w:rFonts w:eastAsia="楷体_GB2312"/>
                <w:color w:val="000000"/>
                <w:sz w:val="20"/>
              </w:rPr>
            </w:pPr>
            <w:r>
              <w:rPr>
                <w:rFonts w:eastAsia="楷体_GB2312"/>
                <w:color w:val="000000"/>
                <w:sz w:val="20"/>
              </w:rPr>
              <w:t>赎回</w:t>
            </w:r>
          </w:p>
        </w:tc>
        <w:tc>
          <w:tcPr>
            <w:tcW w:w="1106" w:type="dxa"/>
            <w:tcBorders>
              <w:top w:val="single" w:color="auto" w:sz="4" w:space="0"/>
              <w:left w:val="single" w:color="auto" w:sz="4" w:space="0"/>
              <w:bottom w:val="single" w:color="auto" w:sz="4" w:space="0"/>
              <w:right w:val="single" w:color="auto" w:sz="4" w:space="0"/>
            </w:tcBorders>
          </w:tcPr>
          <w:p w14:paraId="35093510">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3D45715E">
            <w:pPr>
              <w:spacing w:line="360" w:lineRule="auto"/>
              <w:jc w:val="center"/>
              <w:rPr>
                <w:rFonts w:eastAsia="楷体_GB2312"/>
                <w:color w:val="000000"/>
                <w:sz w:val="18"/>
              </w:rPr>
            </w:pPr>
          </w:p>
        </w:tc>
      </w:tr>
      <w:tr w14:paraId="483362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20DE794D">
            <w:pPr>
              <w:pStyle w:val="115"/>
              <w:numPr>
                <w:ilvl w:val="0"/>
                <w:numId w:val="52"/>
              </w:numPr>
              <w:spacing w:line="360" w:lineRule="auto"/>
              <w:ind w:firstLineChars="0"/>
              <w:rPr>
                <w:rFonts w:eastAsia="楷体_GB2312"/>
                <w:color w:val="000000"/>
                <w:sz w:val="20"/>
              </w:rPr>
            </w:pPr>
            <w:r>
              <w:rPr>
                <w:rFonts w:eastAsia="楷体_GB2312"/>
                <w:color w:val="000000"/>
                <w:sz w:val="20"/>
              </w:rPr>
              <w:t>清仓回购</w:t>
            </w:r>
          </w:p>
        </w:tc>
        <w:tc>
          <w:tcPr>
            <w:tcW w:w="1106" w:type="dxa"/>
            <w:tcBorders>
              <w:top w:val="single" w:color="auto" w:sz="4" w:space="0"/>
              <w:left w:val="single" w:color="auto" w:sz="4" w:space="0"/>
              <w:bottom w:val="single" w:color="auto" w:sz="4" w:space="0"/>
              <w:right w:val="single" w:color="auto" w:sz="4" w:space="0"/>
            </w:tcBorders>
          </w:tcPr>
          <w:p w14:paraId="11E04D80">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6509E8C3">
            <w:pPr>
              <w:spacing w:line="360" w:lineRule="auto"/>
              <w:jc w:val="center"/>
              <w:rPr>
                <w:rFonts w:eastAsia="楷体_GB2312"/>
                <w:color w:val="000000"/>
                <w:sz w:val="18"/>
              </w:rPr>
            </w:pPr>
          </w:p>
        </w:tc>
      </w:tr>
      <w:tr w14:paraId="7DB75D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765E290B">
            <w:pPr>
              <w:pStyle w:val="115"/>
              <w:numPr>
                <w:ilvl w:val="0"/>
                <w:numId w:val="52"/>
              </w:numPr>
              <w:spacing w:line="360" w:lineRule="auto"/>
              <w:ind w:firstLineChars="0"/>
              <w:rPr>
                <w:rFonts w:eastAsia="楷体_GB2312"/>
                <w:color w:val="000000"/>
                <w:sz w:val="20"/>
              </w:rPr>
            </w:pPr>
            <w:r>
              <w:rPr>
                <w:rFonts w:eastAsia="楷体_GB2312"/>
                <w:color w:val="000000"/>
                <w:sz w:val="20"/>
              </w:rPr>
              <w:t>丧失清偿能力事件</w:t>
            </w:r>
          </w:p>
        </w:tc>
        <w:tc>
          <w:tcPr>
            <w:tcW w:w="1106" w:type="dxa"/>
            <w:tcBorders>
              <w:top w:val="single" w:color="auto" w:sz="4" w:space="0"/>
              <w:left w:val="single" w:color="auto" w:sz="4" w:space="0"/>
              <w:bottom w:val="single" w:color="auto" w:sz="4" w:space="0"/>
              <w:right w:val="single" w:color="auto" w:sz="4" w:space="0"/>
            </w:tcBorders>
          </w:tcPr>
          <w:p w14:paraId="155977CB">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245576B2">
            <w:pPr>
              <w:spacing w:line="360" w:lineRule="auto"/>
              <w:jc w:val="center"/>
              <w:rPr>
                <w:rFonts w:eastAsia="楷体_GB2312"/>
                <w:color w:val="000000"/>
                <w:sz w:val="18"/>
              </w:rPr>
            </w:pPr>
          </w:p>
        </w:tc>
      </w:tr>
      <w:tr w14:paraId="6074F1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7E80A714">
            <w:pPr>
              <w:pStyle w:val="115"/>
              <w:numPr>
                <w:ilvl w:val="0"/>
                <w:numId w:val="52"/>
              </w:numPr>
              <w:spacing w:line="360" w:lineRule="auto"/>
              <w:ind w:firstLineChars="0"/>
              <w:rPr>
                <w:rFonts w:eastAsia="楷体_GB2312"/>
                <w:color w:val="000000"/>
                <w:sz w:val="20"/>
              </w:rPr>
            </w:pPr>
            <w:r>
              <w:rPr>
                <w:rFonts w:eastAsia="楷体_GB2312"/>
                <w:color w:val="000000"/>
                <w:sz w:val="20"/>
              </w:rPr>
              <w:t>受托机构终止事件</w:t>
            </w:r>
          </w:p>
        </w:tc>
        <w:tc>
          <w:tcPr>
            <w:tcW w:w="1106" w:type="dxa"/>
            <w:tcBorders>
              <w:top w:val="single" w:color="auto" w:sz="4" w:space="0"/>
              <w:left w:val="single" w:color="auto" w:sz="4" w:space="0"/>
              <w:bottom w:val="single" w:color="auto" w:sz="4" w:space="0"/>
              <w:right w:val="single" w:color="auto" w:sz="4" w:space="0"/>
            </w:tcBorders>
          </w:tcPr>
          <w:p w14:paraId="289693D7">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33B27666">
            <w:pPr>
              <w:spacing w:line="360" w:lineRule="auto"/>
              <w:jc w:val="center"/>
              <w:rPr>
                <w:rFonts w:eastAsia="楷体_GB2312"/>
                <w:color w:val="000000"/>
                <w:sz w:val="18"/>
              </w:rPr>
            </w:pPr>
          </w:p>
        </w:tc>
      </w:tr>
      <w:tr w14:paraId="534ECD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01741C9A">
            <w:pPr>
              <w:pStyle w:val="115"/>
              <w:numPr>
                <w:ilvl w:val="0"/>
                <w:numId w:val="52"/>
              </w:numPr>
              <w:spacing w:line="360" w:lineRule="auto"/>
              <w:ind w:firstLineChars="0"/>
              <w:rPr>
                <w:rFonts w:eastAsia="楷体_GB2312"/>
                <w:color w:val="000000"/>
                <w:sz w:val="20"/>
              </w:rPr>
            </w:pPr>
            <w:r>
              <w:rPr>
                <w:rFonts w:eastAsia="楷体_GB2312"/>
                <w:color w:val="000000"/>
                <w:sz w:val="20"/>
              </w:rPr>
              <w:t>重大不利变化</w:t>
            </w:r>
          </w:p>
        </w:tc>
        <w:tc>
          <w:tcPr>
            <w:tcW w:w="1106" w:type="dxa"/>
            <w:tcBorders>
              <w:top w:val="single" w:color="auto" w:sz="4" w:space="0"/>
              <w:left w:val="single" w:color="auto" w:sz="4" w:space="0"/>
              <w:bottom w:val="single" w:color="auto" w:sz="4" w:space="0"/>
              <w:right w:val="single" w:color="auto" w:sz="4" w:space="0"/>
            </w:tcBorders>
          </w:tcPr>
          <w:p w14:paraId="5E7A016E">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0995CFBA">
            <w:pPr>
              <w:spacing w:line="360" w:lineRule="auto"/>
              <w:jc w:val="center"/>
              <w:rPr>
                <w:rFonts w:eastAsia="楷体_GB2312"/>
                <w:color w:val="000000"/>
                <w:sz w:val="18"/>
              </w:rPr>
            </w:pPr>
          </w:p>
        </w:tc>
      </w:tr>
      <w:tr w14:paraId="60E8A2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1135BED8">
            <w:pPr>
              <w:pStyle w:val="115"/>
              <w:numPr>
                <w:ilvl w:val="0"/>
                <w:numId w:val="52"/>
              </w:numPr>
              <w:spacing w:line="360" w:lineRule="auto"/>
              <w:ind w:firstLineChars="0"/>
              <w:rPr>
                <w:rFonts w:eastAsia="楷体_GB2312"/>
                <w:color w:val="000000"/>
                <w:sz w:val="20"/>
              </w:rPr>
            </w:pPr>
            <w:r>
              <w:rPr>
                <w:rFonts w:eastAsia="楷体_GB2312"/>
                <w:color w:val="000000"/>
                <w:sz w:val="20"/>
              </w:rPr>
              <w:t>重大不利影响</w:t>
            </w:r>
          </w:p>
        </w:tc>
        <w:tc>
          <w:tcPr>
            <w:tcW w:w="1106" w:type="dxa"/>
            <w:tcBorders>
              <w:top w:val="single" w:color="auto" w:sz="4" w:space="0"/>
              <w:left w:val="single" w:color="auto" w:sz="4" w:space="0"/>
              <w:bottom w:val="single" w:color="auto" w:sz="4" w:space="0"/>
              <w:right w:val="single" w:color="auto" w:sz="4" w:space="0"/>
            </w:tcBorders>
          </w:tcPr>
          <w:p w14:paraId="55E71924">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1DBC6E85">
            <w:pPr>
              <w:spacing w:line="360" w:lineRule="auto"/>
              <w:jc w:val="center"/>
              <w:rPr>
                <w:rFonts w:eastAsia="楷体_GB2312"/>
                <w:color w:val="000000"/>
                <w:sz w:val="18"/>
              </w:rPr>
            </w:pPr>
          </w:p>
        </w:tc>
      </w:tr>
      <w:tr w14:paraId="4CDF01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57A0C692">
            <w:pPr>
              <w:pStyle w:val="115"/>
              <w:numPr>
                <w:ilvl w:val="0"/>
                <w:numId w:val="52"/>
              </w:numPr>
              <w:spacing w:line="360" w:lineRule="auto"/>
              <w:ind w:firstLineChars="0"/>
              <w:rPr>
                <w:rFonts w:eastAsia="楷体_GB2312"/>
                <w:color w:val="000000"/>
                <w:sz w:val="20"/>
              </w:rPr>
            </w:pPr>
            <w:r>
              <w:rPr>
                <w:rFonts w:eastAsia="楷体_GB2312"/>
                <w:color w:val="000000"/>
                <w:sz w:val="20"/>
              </w:rPr>
              <w:t>受托人解任事件</w:t>
            </w:r>
          </w:p>
        </w:tc>
        <w:tc>
          <w:tcPr>
            <w:tcW w:w="1106" w:type="dxa"/>
            <w:tcBorders>
              <w:top w:val="single" w:color="auto" w:sz="4" w:space="0"/>
              <w:left w:val="single" w:color="auto" w:sz="4" w:space="0"/>
              <w:bottom w:val="single" w:color="auto" w:sz="4" w:space="0"/>
              <w:right w:val="single" w:color="auto" w:sz="4" w:space="0"/>
            </w:tcBorders>
          </w:tcPr>
          <w:p w14:paraId="4DEEAF2C">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58C3068C">
            <w:pPr>
              <w:spacing w:line="360" w:lineRule="auto"/>
              <w:jc w:val="center"/>
              <w:rPr>
                <w:rFonts w:eastAsia="楷体_GB2312"/>
                <w:color w:val="000000"/>
                <w:sz w:val="18"/>
              </w:rPr>
            </w:pPr>
          </w:p>
        </w:tc>
      </w:tr>
      <w:tr w14:paraId="1D0C63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2243A107">
            <w:pPr>
              <w:pStyle w:val="115"/>
              <w:numPr>
                <w:ilvl w:val="0"/>
                <w:numId w:val="52"/>
              </w:numPr>
              <w:spacing w:line="360" w:lineRule="auto"/>
              <w:ind w:firstLineChars="0"/>
              <w:rPr>
                <w:rFonts w:eastAsia="楷体_GB2312"/>
                <w:color w:val="000000"/>
                <w:sz w:val="20"/>
              </w:rPr>
            </w:pPr>
            <w:r>
              <w:rPr>
                <w:rFonts w:eastAsia="楷体_GB2312"/>
                <w:color w:val="000000"/>
                <w:sz w:val="20"/>
              </w:rPr>
              <w:t>贷款服务机构解任事件</w:t>
            </w:r>
          </w:p>
        </w:tc>
        <w:tc>
          <w:tcPr>
            <w:tcW w:w="1106" w:type="dxa"/>
            <w:tcBorders>
              <w:top w:val="single" w:color="auto" w:sz="4" w:space="0"/>
              <w:left w:val="single" w:color="auto" w:sz="4" w:space="0"/>
              <w:bottom w:val="single" w:color="auto" w:sz="4" w:space="0"/>
              <w:right w:val="single" w:color="auto" w:sz="4" w:space="0"/>
            </w:tcBorders>
          </w:tcPr>
          <w:p w14:paraId="17856063">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72CF7D72">
            <w:pPr>
              <w:spacing w:line="360" w:lineRule="auto"/>
              <w:jc w:val="center"/>
              <w:rPr>
                <w:rFonts w:eastAsia="楷体_GB2312"/>
                <w:color w:val="000000"/>
                <w:sz w:val="18"/>
              </w:rPr>
            </w:pPr>
          </w:p>
        </w:tc>
      </w:tr>
      <w:tr w14:paraId="5A91A6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7F46347A">
            <w:pPr>
              <w:pStyle w:val="115"/>
              <w:numPr>
                <w:ilvl w:val="0"/>
                <w:numId w:val="52"/>
              </w:numPr>
              <w:spacing w:line="360" w:lineRule="auto"/>
              <w:ind w:firstLineChars="0"/>
              <w:rPr>
                <w:rFonts w:eastAsia="楷体_GB2312"/>
                <w:color w:val="000000"/>
                <w:sz w:val="20"/>
              </w:rPr>
            </w:pPr>
            <w:r>
              <w:rPr>
                <w:rFonts w:eastAsia="楷体_GB2312"/>
                <w:color w:val="000000"/>
                <w:sz w:val="20"/>
              </w:rPr>
              <w:t>资金保管机构解任事件</w:t>
            </w:r>
          </w:p>
        </w:tc>
        <w:tc>
          <w:tcPr>
            <w:tcW w:w="1106" w:type="dxa"/>
            <w:tcBorders>
              <w:top w:val="single" w:color="auto" w:sz="4" w:space="0"/>
              <w:left w:val="single" w:color="auto" w:sz="4" w:space="0"/>
              <w:bottom w:val="single" w:color="auto" w:sz="4" w:space="0"/>
              <w:right w:val="single" w:color="auto" w:sz="4" w:space="0"/>
            </w:tcBorders>
          </w:tcPr>
          <w:p w14:paraId="435818D1">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25BCE45E">
            <w:pPr>
              <w:spacing w:line="360" w:lineRule="auto"/>
              <w:jc w:val="center"/>
              <w:rPr>
                <w:rFonts w:eastAsia="楷体_GB2312"/>
                <w:color w:val="000000"/>
                <w:sz w:val="18"/>
              </w:rPr>
            </w:pPr>
          </w:p>
        </w:tc>
      </w:tr>
      <w:tr w14:paraId="5AE8D8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20BA64E4">
            <w:pPr>
              <w:pStyle w:val="115"/>
              <w:numPr>
                <w:ilvl w:val="0"/>
                <w:numId w:val="52"/>
              </w:numPr>
              <w:spacing w:line="360" w:lineRule="auto"/>
              <w:ind w:firstLineChars="0"/>
              <w:rPr>
                <w:rFonts w:eastAsia="楷体_GB2312"/>
                <w:color w:val="000000"/>
                <w:sz w:val="18"/>
              </w:rPr>
            </w:pPr>
            <w:r>
              <w:rPr>
                <w:rFonts w:eastAsia="楷体_GB2312"/>
                <w:color w:val="000000"/>
                <w:sz w:val="20"/>
              </w:rPr>
              <w:t>资产支持证券持有人大会</w:t>
            </w:r>
          </w:p>
        </w:tc>
        <w:tc>
          <w:tcPr>
            <w:tcW w:w="1106" w:type="dxa"/>
            <w:tcBorders>
              <w:top w:val="single" w:color="auto" w:sz="4" w:space="0"/>
              <w:left w:val="single" w:color="auto" w:sz="4" w:space="0"/>
              <w:bottom w:val="single" w:color="auto" w:sz="4" w:space="0"/>
              <w:right w:val="single" w:color="auto" w:sz="4" w:space="0"/>
            </w:tcBorders>
          </w:tcPr>
          <w:p w14:paraId="29BD500D">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5EB4D8AA">
            <w:pPr>
              <w:spacing w:line="360" w:lineRule="auto"/>
              <w:jc w:val="center"/>
              <w:rPr>
                <w:rFonts w:eastAsia="楷体_GB2312"/>
                <w:color w:val="000000"/>
                <w:sz w:val="18"/>
              </w:rPr>
            </w:pPr>
          </w:p>
        </w:tc>
      </w:tr>
      <w:tr w14:paraId="21E04F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31CE879F">
            <w:pPr>
              <w:pStyle w:val="115"/>
              <w:numPr>
                <w:ilvl w:val="0"/>
                <w:numId w:val="52"/>
              </w:numPr>
              <w:spacing w:line="360" w:lineRule="auto"/>
              <w:ind w:firstLineChars="0"/>
              <w:rPr>
                <w:rFonts w:eastAsia="楷体_GB2312"/>
                <w:color w:val="000000"/>
                <w:sz w:val="20"/>
              </w:rPr>
            </w:pPr>
            <w:r>
              <w:rPr>
                <w:rFonts w:hint="eastAsia" w:eastAsia="楷体_GB2312"/>
                <w:color w:val="000000"/>
                <w:sz w:val="20"/>
              </w:rPr>
              <w:t>法定到期日延长</w:t>
            </w:r>
          </w:p>
        </w:tc>
        <w:tc>
          <w:tcPr>
            <w:tcW w:w="1106" w:type="dxa"/>
            <w:tcBorders>
              <w:top w:val="single" w:color="auto" w:sz="4" w:space="0"/>
              <w:left w:val="single" w:color="auto" w:sz="4" w:space="0"/>
              <w:bottom w:val="single" w:color="auto" w:sz="4" w:space="0"/>
              <w:right w:val="single" w:color="auto" w:sz="4" w:space="0"/>
            </w:tcBorders>
          </w:tcPr>
          <w:p w14:paraId="5B35BFDE">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380E9113">
            <w:pPr>
              <w:spacing w:line="360" w:lineRule="auto"/>
              <w:jc w:val="center"/>
              <w:rPr>
                <w:rFonts w:eastAsia="楷体_GB2312"/>
                <w:color w:val="000000"/>
                <w:sz w:val="18"/>
              </w:rPr>
            </w:pPr>
          </w:p>
        </w:tc>
      </w:tr>
      <w:tr w14:paraId="7CEDFE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354A8A47">
            <w:pPr>
              <w:pStyle w:val="115"/>
              <w:numPr>
                <w:ilvl w:val="0"/>
                <w:numId w:val="52"/>
              </w:numPr>
              <w:spacing w:line="360" w:lineRule="auto"/>
              <w:ind w:firstLineChars="0"/>
              <w:rPr>
                <w:rFonts w:eastAsia="楷体_GB2312"/>
                <w:color w:val="000000"/>
                <w:sz w:val="20"/>
              </w:rPr>
            </w:pPr>
            <w:r>
              <w:rPr>
                <w:rFonts w:hint="eastAsia" w:eastAsia="楷体_GB2312"/>
                <w:color w:val="000000"/>
                <w:sz w:val="20"/>
              </w:rPr>
              <w:t>清算期延长</w:t>
            </w:r>
          </w:p>
        </w:tc>
        <w:tc>
          <w:tcPr>
            <w:tcW w:w="1106" w:type="dxa"/>
            <w:tcBorders>
              <w:top w:val="single" w:color="auto" w:sz="4" w:space="0"/>
              <w:left w:val="single" w:color="auto" w:sz="4" w:space="0"/>
              <w:bottom w:val="single" w:color="auto" w:sz="4" w:space="0"/>
              <w:right w:val="single" w:color="auto" w:sz="4" w:space="0"/>
            </w:tcBorders>
          </w:tcPr>
          <w:p w14:paraId="07A79539">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43144D80">
            <w:pPr>
              <w:spacing w:line="360" w:lineRule="auto"/>
              <w:jc w:val="center"/>
              <w:rPr>
                <w:rFonts w:eastAsia="楷体_GB2312"/>
                <w:color w:val="000000"/>
                <w:sz w:val="18"/>
              </w:rPr>
            </w:pPr>
          </w:p>
        </w:tc>
      </w:tr>
      <w:tr w14:paraId="3E1153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51405D94">
            <w:pPr>
              <w:pStyle w:val="115"/>
              <w:numPr>
                <w:ilvl w:val="0"/>
                <w:numId w:val="52"/>
              </w:numPr>
              <w:spacing w:line="360" w:lineRule="auto"/>
              <w:ind w:left="0" w:firstLine="0" w:firstLineChars="0"/>
              <w:rPr>
                <w:rFonts w:eastAsia="楷体_GB2312"/>
                <w:color w:val="000000"/>
                <w:sz w:val="18"/>
              </w:rPr>
            </w:pPr>
            <w:r>
              <w:rPr>
                <w:rFonts w:eastAsia="楷体_GB2312"/>
                <w:color w:val="000000"/>
                <w:sz w:val="20"/>
              </w:rPr>
              <w:t>其他影响</w:t>
            </w:r>
            <w:r>
              <w:rPr>
                <w:rFonts w:hint="eastAsia" w:eastAsia="楷体_GB2312"/>
                <w:color w:val="000000"/>
                <w:sz w:val="20"/>
              </w:rPr>
              <w:t>证券</w:t>
            </w:r>
            <w:r>
              <w:rPr>
                <w:rFonts w:eastAsia="楷体_GB2312"/>
                <w:color w:val="000000"/>
                <w:sz w:val="20"/>
              </w:rPr>
              <w:t>本息兑付或投资者利益的事项</w:t>
            </w:r>
            <w:r>
              <w:rPr>
                <w:rFonts w:hint="eastAsia" w:eastAsia="楷体_GB2312"/>
                <w:color w:val="000000"/>
                <w:sz w:val="20"/>
              </w:rPr>
              <w:t>（如负面的催收相关事项）</w:t>
            </w:r>
          </w:p>
        </w:tc>
        <w:tc>
          <w:tcPr>
            <w:tcW w:w="1106" w:type="dxa"/>
            <w:tcBorders>
              <w:top w:val="single" w:color="auto" w:sz="4" w:space="0"/>
              <w:left w:val="single" w:color="auto" w:sz="4" w:space="0"/>
              <w:bottom w:val="single" w:color="auto" w:sz="4" w:space="0"/>
              <w:right w:val="single" w:color="auto" w:sz="4" w:space="0"/>
            </w:tcBorders>
          </w:tcPr>
          <w:p w14:paraId="2D52DFBE">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5F5E41DB">
            <w:pPr>
              <w:spacing w:line="360" w:lineRule="auto"/>
              <w:jc w:val="center"/>
              <w:rPr>
                <w:rFonts w:eastAsia="楷体_GB2312"/>
                <w:color w:val="000000"/>
                <w:sz w:val="18"/>
              </w:rPr>
            </w:pPr>
          </w:p>
        </w:tc>
      </w:tr>
    </w:tbl>
    <w:p w14:paraId="39BCAF96">
      <w:pPr>
        <w:spacing w:line="360" w:lineRule="auto"/>
        <w:rPr>
          <w:rFonts w:eastAsia="楷体_GB2312"/>
          <w:b/>
          <w:bCs/>
          <w:i/>
          <w:iCs/>
          <w:color w:val="FF0000"/>
        </w:rPr>
      </w:pPr>
    </w:p>
    <w:p w14:paraId="16A8EAC8">
      <w:pPr>
        <w:spacing w:line="360" w:lineRule="auto"/>
        <w:rPr>
          <w:rFonts w:eastAsia="楷体_GB2312"/>
          <w:b/>
          <w:bCs/>
          <w:i/>
          <w:iCs/>
          <w:color w:val="FF0000"/>
        </w:rPr>
      </w:pPr>
      <w:r>
        <w:rPr>
          <w:rFonts w:eastAsia="楷体_GB2312"/>
          <w:b/>
          <w:bCs/>
          <w:i/>
          <w:iCs/>
          <w:color w:val="FF0000"/>
        </w:rPr>
        <w:t>【注：</w:t>
      </w:r>
      <w:r>
        <w:rPr>
          <w:rFonts w:hint="eastAsia" w:eastAsia="楷体_GB2312"/>
          <w:b/>
          <w:bCs/>
          <w:i/>
          <w:iCs/>
          <w:color w:val="FF0000"/>
        </w:rPr>
        <w:t>关于报告期内应披露的重大</w:t>
      </w:r>
      <w:r>
        <w:rPr>
          <w:rFonts w:eastAsia="楷体_GB2312"/>
          <w:b/>
          <w:bCs/>
          <w:i/>
          <w:iCs/>
          <w:color w:val="FF0000"/>
        </w:rPr>
        <w:t>事件需</w:t>
      </w:r>
      <w:r>
        <w:rPr>
          <w:rFonts w:hint="eastAsia" w:eastAsia="楷体_GB2312"/>
          <w:b/>
          <w:bCs/>
          <w:i/>
          <w:iCs/>
          <w:color w:val="FF0000"/>
        </w:rPr>
        <w:t>结合最新的规定予以补充或调整</w:t>
      </w:r>
      <w:r>
        <w:rPr>
          <w:rFonts w:eastAsia="楷体_GB2312"/>
          <w:b/>
          <w:bCs/>
          <w:i/>
          <w:iCs/>
          <w:color w:val="FF0000"/>
        </w:rPr>
        <w:t>。】</w:t>
      </w:r>
    </w:p>
    <w:p w14:paraId="6943B399">
      <w:pPr>
        <w:spacing w:line="360" w:lineRule="auto"/>
        <w:rPr>
          <w:rFonts w:eastAsia="楷体_GB2312"/>
        </w:rPr>
      </w:pPr>
    </w:p>
    <w:p w14:paraId="654DF695">
      <w:pPr>
        <w:spacing w:line="360" w:lineRule="auto"/>
        <w:rPr>
          <w:rFonts w:eastAsia="楷体_GB2312"/>
          <w:color w:val="000000"/>
        </w:rPr>
      </w:pPr>
    </w:p>
    <w:p w14:paraId="7AF99196">
      <w:pPr>
        <w:spacing w:line="360" w:lineRule="auto"/>
        <w:ind w:right="105"/>
        <w:jc w:val="right"/>
        <w:rPr>
          <w:rFonts w:eastAsia="楷体_GB2312"/>
          <w:color w:val="000000"/>
        </w:rPr>
      </w:pPr>
      <w:r>
        <w:rPr>
          <w:rFonts w:eastAsia="楷体_GB2312"/>
          <w:color w:val="000000"/>
        </w:rPr>
        <w:t>【受托机构全称】</w:t>
      </w:r>
    </w:p>
    <w:p w14:paraId="53531111">
      <w:pPr>
        <w:spacing w:line="360" w:lineRule="auto"/>
        <w:jc w:val="right"/>
        <w:rPr>
          <w:rFonts w:eastAsia="楷体_GB2312"/>
        </w:rPr>
      </w:pPr>
      <w:r>
        <w:rPr>
          <w:rFonts w:eastAsia="楷体_GB2312"/>
          <w:color w:val="000000"/>
        </w:rPr>
        <w:t>【  】年【  】月【  】日</w:t>
      </w:r>
    </w:p>
    <w:p w14:paraId="34C29078">
      <w:pPr>
        <w:spacing w:line="560" w:lineRule="exact"/>
        <w:rPr>
          <w:rFonts w:ascii="Times New Roman" w:hAnsi="Times New Roman" w:eastAsia="方正仿宋_GBK"/>
          <w:sz w:val="24"/>
          <w:szCs w:val="32"/>
        </w:rPr>
      </w:pPr>
    </w:p>
    <w:sectPr>
      <w:footerReference r:id="rId9"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Droid Sans Fallback">
    <w:altName w:val="宋体"/>
    <w:panose1 w:val="020B0502000000000001"/>
    <w:charset w:val="86"/>
    <w:family w:val="auto"/>
    <w:pitch w:val="default"/>
    <w:sig w:usb0="00000000" w:usb1="00000000" w:usb2="00000036" w:usb3="00000000" w:csb0="203F01FF" w:csb1="D7FF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3ECB9">
    <w:pPr>
      <w:pStyle w:val="17"/>
      <w:spacing w:before="120" w:after="120"/>
      <w:jc w:val="center"/>
    </w:pPr>
    <w:r>
      <w:fldChar w:fldCharType="begin"/>
    </w:r>
    <w:r>
      <w:instrText xml:space="preserve">PAGE   \* MERGEFORMAT</w:instrText>
    </w:r>
    <w:r>
      <w:fldChar w:fldCharType="separate"/>
    </w:r>
    <w:r>
      <w:rPr>
        <w:lang w:val="zh-CN"/>
      </w:rPr>
      <w:t>94</w:t>
    </w:r>
    <w:r>
      <w:fldChar w:fldCharType="end"/>
    </w:r>
  </w:p>
  <w:p w14:paraId="705D5E67">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70D63">
    <w:pPr>
      <w:pStyle w:val="17"/>
      <w:framePr w:wrap="around" w:vAnchor="text" w:hAnchor="margin" w:xAlign="center" w:y="1"/>
      <w:rPr>
        <w:rStyle w:val="33"/>
      </w:rPr>
    </w:pPr>
    <w:r>
      <w:rPr>
        <w:rStyle w:val="33"/>
      </w:rPr>
      <w:fldChar w:fldCharType="begin"/>
    </w:r>
    <w:r>
      <w:rPr>
        <w:rStyle w:val="33"/>
      </w:rPr>
      <w:instrText xml:space="preserve">PAGE  </w:instrText>
    </w:r>
    <w:r>
      <w:rPr>
        <w:rStyle w:val="33"/>
      </w:rPr>
      <w:fldChar w:fldCharType="end"/>
    </w:r>
  </w:p>
  <w:p w14:paraId="138947D7">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A44F4">
    <w:pPr>
      <w:pStyle w:val="17"/>
      <w:spacing w:before="120" w:after="120"/>
      <w:jc w:val="center"/>
    </w:pPr>
  </w:p>
  <w:p w14:paraId="48C44046">
    <w:pPr>
      <w:pStyle w:val="1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896E1">
    <w:pPr>
      <w:pStyle w:val="17"/>
      <w:spacing w:before="120" w:after="120"/>
      <w:jc w:val="center"/>
    </w:pPr>
    <w:r>
      <w:fldChar w:fldCharType="begin"/>
    </w:r>
    <w:r>
      <w:instrText xml:space="preserve">PAGE   \* MERGEFORMAT</w:instrText>
    </w:r>
    <w:r>
      <w:fldChar w:fldCharType="separate"/>
    </w:r>
    <w:r>
      <w:rPr>
        <w:lang w:val="zh-CN"/>
      </w:rPr>
      <w:t>1</w:t>
    </w:r>
    <w:r>
      <w:fldChar w:fldCharType="end"/>
    </w:r>
  </w:p>
  <w:p w14:paraId="09310B3C">
    <w:pPr>
      <w:pStyle w:val="1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20E6B">
    <w:pPr>
      <w:pStyle w:val="17"/>
      <w:framePr w:wrap="around" w:vAnchor="text" w:hAnchor="margin" w:xAlign="center" w:y="1"/>
      <w:rPr>
        <w:rStyle w:val="33"/>
      </w:rPr>
    </w:pPr>
    <w:r>
      <w:rPr>
        <w:rStyle w:val="33"/>
      </w:rPr>
      <w:fldChar w:fldCharType="begin"/>
    </w:r>
    <w:r>
      <w:rPr>
        <w:rStyle w:val="33"/>
      </w:rPr>
      <w:instrText xml:space="preserve">PAGE  </w:instrText>
    </w:r>
    <w:r>
      <w:rPr>
        <w:rStyle w:val="33"/>
      </w:rPr>
      <w:fldChar w:fldCharType="separate"/>
    </w:r>
    <w:r>
      <w:rPr>
        <w:rStyle w:val="33"/>
      </w:rPr>
      <w:t>97</w:t>
    </w:r>
    <w:r>
      <w:rPr>
        <w:rStyle w:val="33"/>
      </w:rPr>
      <w:fldChar w:fldCharType="end"/>
    </w:r>
  </w:p>
  <w:p w14:paraId="5FFFFDBB">
    <w:pPr>
      <w:pStyle w:val="1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4E873">
    <w:pPr>
      <w:pStyle w:val="17"/>
      <w:spacing w:before="120" w:after="120"/>
      <w:jc w:val="center"/>
    </w:pPr>
    <w:r>
      <w:fldChar w:fldCharType="begin"/>
    </w:r>
    <w:r>
      <w:instrText xml:space="preserve">PAGE   \* MERGEFORMAT</w:instrText>
    </w:r>
    <w:r>
      <w:fldChar w:fldCharType="separate"/>
    </w:r>
    <w:r>
      <w:rPr>
        <w:lang w:val="zh-CN"/>
      </w:rPr>
      <w:t>105</w:t>
    </w:r>
    <w:r>
      <w:fldChar w:fldCharType="end"/>
    </w:r>
  </w:p>
  <w:p w14:paraId="137644BE">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7AE27C5D">
      <w:pPr>
        <w:pStyle w:val="23"/>
        <w:rPr>
          <w:rFonts w:ascii="Times New Roman" w:hAnsi="Times New Roman" w:eastAsia="楷体_GB2312"/>
        </w:rPr>
      </w:pPr>
      <w:r>
        <w:rPr>
          <w:rStyle w:val="37"/>
          <w:rFonts w:ascii="Times New Roman" w:hAnsi="Times New Roman" w:eastAsia="楷体_GB2312"/>
        </w:rPr>
        <w:footnoteRef/>
      </w:r>
      <w:r>
        <w:rPr>
          <w:rFonts w:ascii="Times New Roman" w:hAnsi="Times New Roman" w:eastAsia="楷体_GB2312"/>
        </w:rPr>
        <w:t xml:space="preserve"> 本合同版本作为个人消费类贷款资产支持证券的标准范本供市场机构参考，非强制适用，合同条款可根据项目具体情况予以调整，法律法规另有规定的除外。</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3"/>
    <w:multiLevelType w:val="singleLevel"/>
    <w:tmpl w:val="FFFFFF83"/>
    <w:lvl w:ilvl="0" w:tentative="0">
      <w:start w:val="1"/>
      <w:numFmt w:val="bullet"/>
      <w:pStyle w:val="10"/>
      <w:lvlText w:val=""/>
      <w:lvlJc w:val="left"/>
      <w:pPr>
        <w:tabs>
          <w:tab w:val="left" w:pos="780"/>
        </w:tabs>
        <w:ind w:left="780" w:hanging="360"/>
      </w:pPr>
      <w:rPr>
        <w:rFonts w:hint="default" w:ascii="Wingdings" w:hAnsi="Wingdings"/>
      </w:rPr>
    </w:lvl>
  </w:abstractNum>
  <w:abstractNum w:abstractNumId="1">
    <w:nsid w:val="020C335C"/>
    <w:multiLevelType w:val="multilevel"/>
    <w:tmpl w:val="020C335C"/>
    <w:lvl w:ilvl="0" w:tentative="0">
      <w:start w:val="1"/>
      <w:numFmt w:val="decimal"/>
      <w:lvlText w:val="(%1)"/>
      <w:lvlJc w:val="left"/>
      <w:pPr>
        <w:ind w:left="1838" w:hanging="420"/>
      </w:pPr>
      <w:rPr>
        <w:rFonts w:hint="eastAsia"/>
      </w:rPr>
    </w:lvl>
    <w:lvl w:ilvl="1" w:tentative="0">
      <w:start w:val="1"/>
      <w:numFmt w:val="lowerLetter"/>
      <w:lvlText w:val="%2)"/>
      <w:lvlJc w:val="left"/>
      <w:pPr>
        <w:ind w:left="2258" w:hanging="420"/>
      </w:pPr>
    </w:lvl>
    <w:lvl w:ilvl="2" w:tentative="0">
      <w:start w:val="1"/>
      <w:numFmt w:val="lowerRoman"/>
      <w:lvlText w:val="%3."/>
      <w:lvlJc w:val="right"/>
      <w:pPr>
        <w:ind w:left="2678" w:hanging="420"/>
      </w:pPr>
    </w:lvl>
    <w:lvl w:ilvl="3" w:tentative="0">
      <w:start w:val="1"/>
      <w:numFmt w:val="decimal"/>
      <w:lvlText w:val="%4."/>
      <w:lvlJc w:val="left"/>
      <w:pPr>
        <w:ind w:left="3098" w:hanging="420"/>
      </w:pPr>
    </w:lvl>
    <w:lvl w:ilvl="4" w:tentative="0">
      <w:start w:val="1"/>
      <w:numFmt w:val="lowerLetter"/>
      <w:lvlText w:val="%5)"/>
      <w:lvlJc w:val="left"/>
      <w:pPr>
        <w:ind w:left="3518" w:hanging="420"/>
      </w:pPr>
    </w:lvl>
    <w:lvl w:ilvl="5" w:tentative="0">
      <w:start w:val="1"/>
      <w:numFmt w:val="lowerRoman"/>
      <w:lvlText w:val="%6."/>
      <w:lvlJc w:val="right"/>
      <w:pPr>
        <w:ind w:left="3938" w:hanging="420"/>
      </w:pPr>
    </w:lvl>
    <w:lvl w:ilvl="6" w:tentative="0">
      <w:start w:val="1"/>
      <w:numFmt w:val="decimal"/>
      <w:lvlText w:val="%7."/>
      <w:lvlJc w:val="left"/>
      <w:pPr>
        <w:ind w:left="4358" w:hanging="420"/>
      </w:pPr>
    </w:lvl>
    <w:lvl w:ilvl="7" w:tentative="0">
      <w:start w:val="1"/>
      <w:numFmt w:val="lowerLetter"/>
      <w:lvlText w:val="%8)"/>
      <w:lvlJc w:val="left"/>
      <w:pPr>
        <w:ind w:left="4778" w:hanging="420"/>
      </w:pPr>
    </w:lvl>
    <w:lvl w:ilvl="8" w:tentative="0">
      <w:start w:val="1"/>
      <w:numFmt w:val="lowerRoman"/>
      <w:lvlText w:val="%9."/>
      <w:lvlJc w:val="right"/>
      <w:pPr>
        <w:ind w:left="5198" w:hanging="420"/>
      </w:pPr>
    </w:lvl>
  </w:abstractNum>
  <w:abstractNum w:abstractNumId="2">
    <w:nsid w:val="06AC16FF"/>
    <w:multiLevelType w:val="multilevel"/>
    <w:tmpl w:val="06AC16FF"/>
    <w:lvl w:ilvl="0" w:tentative="0">
      <w:start w:val="1"/>
      <w:numFmt w:val="decimal"/>
      <w:lvlText w:val="(%1)"/>
      <w:lvlJc w:val="left"/>
      <w:pPr>
        <w:ind w:left="1412" w:hanging="420"/>
      </w:pPr>
      <w:rPr>
        <w:rFonts w:hint="eastAsia"/>
      </w:r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3">
    <w:nsid w:val="0A313053"/>
    <w:multiLevelType w:val="multilevel"/>
    <w:tmpl w:val="0A313053"/>
    <w:lvl w:ilvl="0" w:tentative="0">
      <w:start w:val="1"/>
      <w:numFmt w:val="decimal"/>
      <w:lvlText w:val="(%1)"/>
      <w:lvlJc w:val="left"/>
      <w:pPr>
        <w:ind w:left="1838" w:hanging="420"/>
      </w:pPr>
      <w:rPr>
        <w:rFonts w:hint="eastAsia"/>
      </w:rPr>
    </w:lvl>
    <w:lvl w:ilvl="1" w:tentative="0">
      <w:start w:val="1"/>
      <w:numFmt w:val="lowerLetter"/>
      <w:lvlText w:val="%2)"/>
      <w:lvlJc w:val="left"/>
      <w:pPr>
        <w:ind w:left="2258" w:hanging="420"/>
      </w:pPr>
    </w:lvl>
    <w:lvl w:ilvl="2" w:tentative="0">
      <w:start w:val="1"/>
      <w:numFmt w:val="lowerRoman"/>
      <w:lvlText w:val="%3."/>
      <w:lvlJc w:val="right"/>
      <w:pPr>
        <w:ind w:left="2678" w:hanging="420"/>
      </w:pPr>
    </w:lvl>
    <w:lvl w:ilvl="3" w:tentative="0">
      <w:start w:val="1"/>
      <w:numFmt w:val="decimal"/>
      <w:lvlText w:val="%4."/>
      <w:lvlJc w:val="left"/>
      <w:pPr>
        <w:ind w:left="3098" w:hanging="420"/>
      </w:pPr>
    </w:lvl>
    <w:lvl w:ilvl="4" w:tentative="0">
      <w:start w:val="1"/>
      <w:numFmt w:val="lowerLetter"/>
      <w:lvlText w:val="%5)"/>
      <w:lvlJc w:val="left"/>
      <w:pPr>
        <w:ind w:left="3518" w:hanging="420"/>
      </w:pPr>
    </w:lvl>
    <w:lvl w:ilvl="5" w:tentative="0">
      <w:start w:val="1"/>
      <w:numFmt w:val="lowerRoman"/>
      <w:lvlText w:val="%6."/>
      <w:lvlJc w:val="right"/>
      <w:pPr>
        <w:ind w:left="3938" w:hanging="420"/>
      </w:pPr>
    </w:lvl>
    <w:lvl w:ilvl="6" w:tentative="0">
      <w:start w:val="1"/>
      <w:numFmt w:val="decimal"/>
      <w:lvlText w:val="%7."/>
      <w:lvlJc w:val="left"/>
      <w:pPr>
        <w:ind w:left="4358" w:hanging="420"/>
      </w:pPr>
    </w:lvl>
    <w:lvl w:ilvl="7" w:tentative="0">
      <w:start w:val="1"/>
      <w:numFmt w:val="lowerLetter"/>
      <w:lvlText w:val="%8)"/>
      <w:lvlJc w:val="left"/>
      <w:pPr>
        <w:ind w:left="4778" w:hanging="420"/>
      </w:pPr>
    </w:lvl>
    <w:lvl w:ilvl="8" w:tentative="0">
      <w:start w:val="1"/>
      <w:numFmt w:val="lowerRoman"/>
      <w:lvlText w:val="%9."/>
      <w:lvlJc w:val="right"/>
      <w:pPr>
        <w:ind w:left="5198" w:hanging="420"/>
      </w:pPr>
    </w:lvl>
  </w:abstractNum>
  <w:abstractNum w:abstractNumId="4">
    <w:nsid w:val="0DE256EC"/>
    <w:multiLevelType w:val="multilevel"/>
    <w:tmpl w:val="0DE256EC"/>
    <w:lvl w:ilvl="0" w:tentative="0">
      <w:start w:val="1"/>
      <w:numFmt w:val="decimal"/>
      <w:lvlText w:val="(%1)"/>
      <w:lvlJc w:val="left"/>
      <w:pPr>
        <w:tabs>
          <w:tab w:val="left" w:pos="1995"/>
        </w:tabs>
        <w:ind w:left="1995" w:hanging="375"/>
      </w:pPr>
      <w:rPr>
        <w:rFonts w:hint="eastAsia"/>
        <w:b w:val="0"/>
        <w:color w:val="auto"/>
        <w:sz w:val="24"/>
        <w:szCs w:val="24"/>
      </w:rPr>
    </w:lvl>
    <w:lvl w:ilvl="1" w:tentative="0">
      <w:start w:val="1"/>
      <w:numFmt w:val="lowerLetter"/>
      <w:lvlText w:val="%2)"/>
      <w:lvlJc w:val="left"/>
      <w:pPr>
        <w:tabs>
          <w:tab w:val="left" w:pos="769"/>
        </w:tabs>
        <w:ind w:left="769" w:hanging="420"/>
      </w:pPr>
    </w:lvl>
    <w:lvl w:ilvl="2" w:tentative="0">
      <w:start w:val="1"/>
      <w:numFmt w:val="lowerRoman"/>
      <w:lvlText w:val="%3."/>
      <w:lvlJc w:val="right"/>
      <w:pPr>
        <w:tabs>
          <w:tab w:val="left" w:pos="1189"/>
        </w:tabs>
        <w:ind w:left="1189" w:hanging="420"/>
      </w:pPr>
    </w:lvl>
    <w:lvl w:ilvl="3" w:tentative="0">
      <w:start w:val="1"/>
      <w:numFmt w:val="decimal"/>
      <w:lvlText w:val="%4."/>
      <w:lvlJc w:val="left"/>
      <w:pPr>
        <w:tabs>
          <w:tab w:val="left" w:pos="1609"/>
        </w:tabs>
        <w:ind w:left="1609" w:hanging="420"/>
      </w:pPr>
    </w:lvl>
    <w:lvl w:ilvl="4" w:tentative="0">
      <w:start w:val="1"/>
      <w:numFmt w:val="lowerLetter"/>
      <w:lvlText w:val="%5)"/>
      <w:lvlJc w:val="left"/>
      <w:pPr>
        <w:tabs>
          <w:tab w:val="left" w:pos="2029"/>
        </w:tabs>
        <w:ind w:left="2029" w:hanging="420"/>
      </w:pPr>
    </w:lvl>
    <w:lvl w:ilvl="5" w:tentative="0">
      <w:start w:val="1"/>
      <w:numFmt w:val="lowerRoman"/>
      <w:lvlText w:val="%6."/>
      <w:lvlJc w:val="right"/>
      <w:pPr>
        <w:tabs>
          <w:tab w:val="left" w:pos="2449"/>
        </w:tabs>
        <w:ind w:left="2449" w:hanging="420"/>
      </w:pPr>
    </w:lvl>
    <w:lvl w:ilvl="6" w:tentative="0">
      <w:start w:val="1"/>
      <w:numFmt w:val="decimal"/>
      <w:lvlText w:val="%7."/>
      <w:lvlJc w:val="left"/>
      <w:pPr>
        <w:tabs>
          <w:tab w:val="left" w:pos="2869"/>
        </w:tabs>
        <w:ind w:left="2869" w:hanging="420"/>
      </w:pPr>
    </w:lvl>
    <w:lvl w:ilvl="7" w:tentative="0">
      <w:start w:val="1"/>
      <w:numFmt w:val="lowerLetter"/>
      <w:lvlText w:val="%8)"/>
      <w:lvlJc w:val="left"/>
      <w:pPr>
        <w:tabs>
          <w:tab w:val="left" w:pos="3289"/>
        </w:tabs>
        <w:ind w:left="3289" w:hanging="420"/>
      </w:pPr>
    </w:lvl>
    <w:lvl w:ilvl="8" w:tentative="0">
      <w:start w:val="1"/>
      <w:numFmt w:val="lowerRoman"/>
      <w:lvlText w:val="%9."/>
      <w:lvlJc w:val="right"/>
      <w:pPr>
        <w:tabs>
          <w:tab w:val="left" w:pos="3709"/>
        </w:tabs>
        <w:ind w:left="3709" w:hanging="420"/>
      </w:pPr>
    </w:lvl>
  </w:abstractNum>
  <w:abstractNum w:abstractNumId="5">
    <w:nsid w:val="13EE39BC"/>
    <w:multiLevelType w:val="multilevel"/>
    <w:tmpl w:val="13EE39BC"/>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5562AC0"/>
    <w:multiLevelType w:val="multilevel"/>
    <w:tmpl w:val="15562AC0"/>
    <w:lvl w:ilvl="0" w:tentative="0">
      <w:start w:val="1"/>
      <w:numFmt w:val="decimal"/>
      <w:lvlText w:val="(%1)"/>
      <w:lvlJc w:val="left"/>
      <w:pPr>
        <w:tabs>
          <w:tab w:val="left" w:pos="1333"/>
        </w:tabs>
        <w:ind w:left="1333" w:hanging="375"/>
      </w:pPr>
      <w:rPr>
        <w:rFonts w:hint="eastAsia"/>
        <w:b w:val="0"/>
        <w:color w:val="auto"/>
      </w:rPr>
    </w:lvl>
    <w:lvl w:ilvl="1" w:tentative="0">
      <w:start w:val="1"/>
      <w:numFmt w:val="lowerLetter"/>
      <w:lvlText w:val="%2)"/>
      <w:lvlJc w:val="left"/>
      <w:pPr>
        <w:tabs>
          <w:tab w:val="left" w:pos="107"/>
        </w:tabs>
        <w:ind w:left="107" w:hanging="420"/>
      </w:pPr>
    </w:lvl>
    <w:lvl w:ilvl="2" w:tentative="0">
      <w:start w:val="1"/>
      <w:numFmt w:val="lowerRoman"/>
      <w:lvlText w:val="%3."/>
      <w:lvlJc w:val="right"/>
      <w:pPr>
        <w:tabs>
          <w:tab w:val="left" w:pos="527"/>
        </w:tabs>
        <w:ind w:left="527" w:hanging="420"/>
      </w:pPr>
    </w:lvl>
    <w:lvl w:ilvl="3" w:tentative="0">
      <w:start w:val="1"/>
      <w:numFmt w:val="decimal"/>
      <w:lvlText w:val="%4."/>
      <w:lvlJc w:val="left"/>
      <w:pPr>
        <w:tabs>
          <w:tab w:val="left" w:pos="947"/>
        </w:tabs>
        <w:ind w:left="947" w:hanging="420"/>
      </w:pPr>
    </w:lvl>
    <w:lvl w:ilvl="4" w:tentative="0">
      <w:start w:val="1"/>
      <w:numFmt w:val="lowerLetter"/>
      <w:lvlText w:val="%5)"/>
      <w:lvlJc w:val="left"/>
      <w:pPr>
        <w:tabs>
          <w:tab w:val="left" w:pos="1367"/>
        </w:tabs>
        <w:ind w:left="1367" w:hanging="420"/>
      </w:pPr>
    </w:lvl>
    <w:lvl w:ilvl="5" w:tentative="0">
      <w:start w:val="1"/>
      <w:numFmt w:val="lowerRoman"/>
      <w:lvlText w:val="%6."/>
      <w:lvlJc w:val="right"/>
      <w:pPr>
        <w:tabs>
          <w:tab w:val="left" w:pos="1787"/>
        </w:tabs>
        <w:ind w:left="1787" w:hanging="420"/>
      </w:pPr>
    </w:lvl>
    <w:lvl w:ilvl="6" w:tentative="0">
      <w:start w:val="1"/>
      <w:numFmt w:val="decimal"/>
      <w:lvlText w:val="%7."/>
      <w:lvlJc w:val="left"/>
      <w:pPr>
        <w:tabs>
          <w:tab w:val="left" w:pos="2207"/>
        </w:tabs>
        <w:ind w:left="2207" w:hanging="420"/>
      </w:pPr>
    </w:lvl>
    <w:lvl w:ilvl="7" w:tentative="0">
      <w:start w:val="1"/>
      <w:numFmt w:val="lowerLetter"/>
      <w:lvlText w:val="%8)"/>
      <w:lvlJc w:val="left"/>
      <w:pPr>
        <w:tabs>
          <w:tab w:val="left" w:pos="2627"/>
        </w:tabs>
        <w:ind w:left="2627" w:hanging="420"/>
      </w:pPr>
    </w:lvl>
    <w:lvl w:ilvl="8" w:tentative="0">
      <w:start w:val="1"/>
      <w:numFmt w:val="lowerRoman"/>
      <w:lvlText w:val="%9."/>
      <w:lvlJc w:val="right"/>
      <w:pPr>
        <w:tabs>
          <w:tab w:val="left" w:pos="3047"/>
        </w:tabs>
        <w:ind w:left="3047" w:hanging="420"/>
      </w:pPr>
    </w:lvl>
  </w:abstractNum>
  <w:abstractNum w:abstractNumId="7">
    <w:nsid w:val="17A1428A"/>
    <w:multiLevelType w:val="multilevel"/>
    <w:tmpl w:val="17A1428A"/>
    <w:lvl w:ilvl="0" w:tentative="0">
      <w:start w:val="1"/>
      <w:numFmt w:val="lowerLetter"/>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8A05491"/>
    <w:multiLevelType w:val="multilevel"/>
    <w:tmpl w:val="18A05491"/>
    <w:lvl w:ilvl="0" w:tentative="0">
      <w:start w:val="1"/>
      <w:numFmt w:val="decimal"/>
      <w:lvlText w:val="(%1)"/>
      <w:lvlJc w:val="left"/>
      <w:pPr>
        <w:ind w:left="1838" w:hanging="420"/>
      </w:pPr>
      <w:rPr>
        <w:rFonts w:hint="eastAsia"/>
      </w:rPr>
    </w:lvl>
    <w:lvl w:ilvl="1" w:tentative="0">
      <w:start w:val="1"/>
      <w:numFmt w:val="lowerLetter"/>
      <w:lvlText w:val="%2)"/>
      <w:lvlJc w:val="left"/>
      <w:pPr>
        <w:ind w:left="2258" w:hanging="420"/>
      </w:pPr>
    </w:lvl>
    <w:lvl w:ilvl="2" w:tentative="0">
      <w:start w:val="1"/>
      <w:numFmt w:val="lowerRoman"/>
      <w:lvlText w:val="%3."/>
      <w:lvlJc w:val="right"/>
      <w:pPr>
        <w:ind w:left="2678" w:hanging="420"/>
      </w:pPr>
    </w:lvl>
    <w:lvl w:ilvl="3" w:tentative="0">
      <w:start w:val="1"/>
      <w:numFmt w:val="decimal"/>
      <w:lvlText w:val="%4."/>
      <w:lvlJc w:val="left"/>
      <w:pPr>
        <w:ind w:left="3098" w:hanging="420"/>
      </w:pPr>
    </w:lvl>
    <w:lvl w:ilvl="4" w:tentative="0">
      <w:start w:val="1"/>
      <w:numFmt w:val="lowerLetter"/>
      <w:lvlText w:val="%5)"/>
      <w:lvlJc w:val="left"/>
      <w:pPr>
        <w:ind w:left="3518" w:hanging="420"/>
      </w:pPr>
    </w:lvl>
    <w:lvl w:ilvl="5" w:tentative="0">
      <w:start w:val="1"/>
      <w:numFmt w:val="lowerRoman"/>
      <w:lvlText w:val="%6."/>
      <w:lvlJc w:val="right"/>
      <w:pPr>
        <w:ind w:left="3938" w:hanging="420"/>
      </w:pPr>
    </w:lvl>
    <w:lvl w:ilvl="6" w:tentative="0">
      <w:start w:val="1"/>
      <w:numFmt w:val="decimal"/>
      <w:lvlText w:val="%7."/>
      <w:lvlJc w:val="left"/>
      <w:pPr>
        <w:ind w:left="4358" w:hanging="420"/>
      </w:pPr>
    </w:lvl>
    <w:lvl w:ilvl="7" w:tentative="0">
      <w:start w:val="1"/>
      <w:numFmt w:val="lowerLetter"/>
      <w:lvlText w:val="%8)"/>
      <w:lvlJc w:val="left"/>
      <w:pPr>
        <w:ind w:left="4778" w:hanging="420"/>
      </w:pPr>
    </w:lvl>
    <w:lvl w:ilvl="8" w:tentative="0">
      <w:start w:val="1"/>
      <w:numFmt w:val="lowerRoman"/>
      <w:lvlText w:val="%9."/>
      <w:lvlJc w:val="right"/>
      <w:pPr>
        <w:ind w:left="5198" w:hanging="420"/>
      </w:pPr>
    </w:lvl>
  </w:abstractNum>
  <w:abstractNum w:abstractNumId="9">
    <w:nsid w:val="191F0096"/>
    <w:multiLevelType w:val="multilevel"/>
    <w:tmpl w:val="191F0096"/>
    <w:lvl w:ilvl="0" w:tentative="0">
      <w:start w:val="1"/>
      <w:numFmt w:val="decimal"/>
      <w:lvlText w:val="(%1)"/>
      <w:lvlJc w:val="left"/>
      <w:pPr>
        <w:ind w:left="1412" w:hanging="420"/>
      </w:pPr>
      <w:rPr>
        <w:rFonts w:hint="eastAsia"/>
      </w:r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10">
    <w:nsid w:val="1AE200C9"/>
    <w:multiLevelType w:val="multilevel"/>
    <w:tmpl w:val="1AE200C9"/>
    <w:lvl w:ilvl="0" w:tentative="0">
      <w:start w:val="1"/>
      <w:numFmt w:val="decimal"/>
      <w:lvlText w:val="(%1)"/>
      <w:lvlJc w:val="left"/>
      <w:pPr>
        <w:ind w:left="1838" w:hanging="420"/>
      </w:pPr>
      <w:rPr>
        <w:rFonts w:hint="eastAsia"/>
      </w:rPr>
    </w:lvl>
    <w:lvl w:ilvl="1" w:tentative="0">
      <w:start w:val="1"/>
      <w:numFmt w:val="lowerLetter"/>
      <w:lvlText w:val="%2)"/>
      <w:lvlJc w:val="left"/>
      <w:pPr>
        <w:ind w:left="2258" w:hanging="420"/>
      </w:pPr>
    </w:lvl>
    <w:lvl w:ilvl="2" w:tentative="0">
      <w:start w:val="1"/>
      <w:numFmt w:val="lowerRoman"/>
      <w:lvlText w:val="%3."/>
      <w:lvlJc w:val="right"/>
      <w:pPr>
        <w:ind w:left="2678" w:hanging="420"/>
      </w:pPr>
    </w:lvl>
    <w:lvl w:ilvl="3" w:tentative="0">
      <w:start w:val="1"/>
      <w:numFmt w:val="decimal"/>
      <w:lvlText w:val="%4."/>
      <w:lvlJc w:val="left"/>
      <w:pPr>
        <w:ind w:left="3098" w:hanging="420"/>
      </w:pPr>
    </w:lvl>
    <w:lvl w:ilvl="4" w:tentative="0">
      <w:start w:val="1"/>
      <w:numFmt w:val="lowerLetter"/>
      <w:lvlText w:val="%5)"/>
      <w:lvlJc w:val="left"/>
      <w:pPr>
        <w:ind w:left="3518" w:hanging="420"/>
      </w:pPr>
    </w:lvl>
    <w:lvl w:ilvl="5" w:tentative="0">
      <w:start w:val="1"/>
      <w:numFmt w:val="lowerRoman"/>
      <w:lvlText w:val="%6."/>
      <w:lvlJc w:val="right"/>
      <w:pPr>
        <w:ind w:left="3938" w:hanging="420"/>
      </w:pPr>
    </w:lvl>
    <w:lvl w:ilvl="6" w:tentative="0">
      <w:start w:val="1"/>
      <w:numFmt w:val="decimal"/>
      <w:lvlText w:val="%7."/>
      <w:lvlJc w:val="left"/>
      <w:pPr>
        <w:ind w:left="4358" w:hanging="420"/>
      </w:pPr>
    </w:lvl>
    <w:lvl w:ilvl="7" w:tentative="0">
      <w:start w:val="1"/>
      <w:numFmt w:val="lowerLetter"/>
      <w:lvlText w:val="%8)"/>
      <w:lvlJc w:val="left"/>
      <w:pPr>
        <w:ind w:left="4778" w:hanging="420"/>
      </w:pPr>
    </w:lvl>
    <w:lvl w:ilvl="8" w:tentative="0">
      <w:start w:val="1"/>
      <w:numFmt w:val="lowerRoman"/>
      <w:lvlText w:val="%9."/>
      <w:lvlJc w:val="right"/>
      <w:pPr>
        <w:ind w:left="5198" w:hanging="420"/>
      </w:pPr>
    </w:lvl>
  </w:abstractNum>
  <w:abstractNum w:abstractNumId="11">
    <w:nsid w:val="1BEC5CBE"/>
    <w:multiLevelType w:val="multilevel"/>
    <w:tmpl w:val="1BEC5CBE"/>
    <w:lvl w:ilvl="0" w:tentative="0">
      <w:start w:val="1"/>
      <w:numFmt w:val="decimal"/>
      <w:lvlText w:val="(%1)"/>
      <w:lvlJc w:val="left"/>
      <w:pPr>
        <w:tabs>
          <w:tab w:val="left" w:pos="1333"/>
        </w:tabs>
        <w:ind w:left="1333" w:hanging="375"/>
      </w:pPr>
      <w:rPr>
        <w:rFonts w:hint="eastAsia"/>
        <w:b w:val="0"/>
        <w:color w:val="auto"/>
      </w:rPr>
    </w:lvl>
    <w:lvl w:ilvl="1" w:tentative="0">
      <w:start w:val="1"/>
      <w:numFmt w:val="lowerLetter"/>
      <w:lvlText w:val="%2)"/>
      <w:lvlJc w:val="left"/>
      <w:pPr>
        <w:tabs>
          <w:tab w:val="left" w:pos="107"/>
        </w:tabs>
        <w:ind w:left="107" w:hanging="420"/>
      </w:pPr>
    </w:lvl>
    <w:lvl w:ilvl="2" w:tentative="0">
      <w:start w:val="1"/>
      <w:numFmt w:val="lowerRoman"/>
      <w:lvlText w:val="%3."/>
      <w:lvlJc w:val="right"/>
      <w:pPr>
        <w:tabs>
          <w:tab w:val="left" w:pos="527"/>
        </w:tabs>
        <w:ind w:left="527" w:hanging="420"/>
      </w:pPr>
    </w:lvl>
    <w:lvl w:ilvl="3" w:tentative="0">
      <w:start w:val="1"/>
      <w:numFmt w:val="decimal"/>
      <w:lvlText w:val="%4."/>
      <w:lvlJc w:val="left"/>
      <w:pPr>
        <w:tabs>
          <w:tab w:val="left" w:pos="947"/>
        </w:tabs>
        <w:ind w:left="947" w:hanging="420"/>
      </w:pPr>
    </w:lvl>
    <w:lvl w:ilvl="4" w:tentative="0">
      <w:start w:val="1"/>
      <w:numFmt w:val="lowerLetter"/>
      <w:lvlText w:val="%5)"/>
      <w:lvlJc w:val="left"/>
      <w:pPr>
        <w:tabs>
          <w:tab w:val="left" w:pos="1367"/>
        </w:tabs>
        <w:ind w:left="1367" w:hanging="420"/>
      </w:pPr>
    </w:lvl>
    <w:lvl w:ilvl="5" w:tentative="0">
      <w:start w:val="1"/>
      <w:numFmt w:val="lowerRoman"/>
      <w:lvlText w:val="%6."/>
      <w:lvlJc w:val="right"/>
      <w:pPr>
        <w:tabs>
          <w:tab w:val="left" w:pos="1787"/>
        </w:tabs>
        <w:ind w:left="1787" w:hanging="420"/>
      </w:pPr>
    </w:lvl>
    <w:lvl w:ilvl="6" w:tentative="0">
      <w:start w:val="1"/>
      <w:numFmt w:val="decimal"/>
      <w:lvlText w:val="%7."/>
      <w:lvlJc w:val="left"/>
      <w:pPr>
        <w:tabs>
          <w:tab w:val="left" w:pos="2207"/>
        </w:tabs>
        <w:ind w:left="2207" w:hanging="420"/>
      </w:pPr>
    </w:lvl>
    <w:lvl w:ilvl="7" w:tentative="0">
      <w:start w:val="1"/>
      <w:numFmt w:val="lowerLetter"/>
      <w:lvlText w:val="%8)"/>
      <w:lvlJc w:val="left"/>
      <w:pPr>
        <w:tabs>
          <w:tab w:val="left" w:pos="2627"/>
        </w:tabs>
        <w:ind w:left="2627" w:hanging="420"/>
      </w:pPr>
    </w:lvl>
    <w:lvl w:ilvl="8" w:tentative="0">
      <w:start w:val="1"/>
      <w:numFmt w:val="lowerRoman"/>
      <w:lvlText w:val="%9."/>
      <w:lvlJc w:val="right"/>
      <w:pPr>
        <w:tabs>
          <w:tab w:val="left" w:pos="3047"/>
        </w:tabs>
        <w:ind w:left="3047" w:hanging="420"/>
      </w:pPr>
    </w:lvl>
  </w:abstractNum>
  <w:abstractNum w:abstractNumId="12">
    <w:nsid w:val="1DCF359E"/>
    <w:multiLevelType w:val="multilevel"/>
    <w:tmpl w:val="1DCF359E"/>
    <w:lvl w:ilvl="0" w:tentative="0">
      <w:start w:val="1"/>
      <w:numFmt w:val="lowerLetter"/>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1F0F3E65"/>
    <w:multiLevelType w:val="multilevel"/>
    <w:tmpl w:val="1F0F3E65"/>
    <w:lvl w:ilvl="0" w:tentative="0">
      <w:start w:val="1"/>
      <w:numFmt w:val="decimal"/>
      <w:lvlText w:val="(%1)"/>
      <w:lvlJc w:val="left"/>
      <w:pPr>
        <w:ind w:left="1412" w:hanging="420"/>
      </w:pPr>
      <w:rPr>
        <w:rFonts w:hint="eastAsia"/>
      </w:r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14">
    <w:nsid w:val="1F937602"/>
    <w:multiLevelType w:val="multilevel"/>
    <w:tmpl w:val="1F937602"/>
    <w:lvl w:ilvl="0" w:tentative="0">
      <w:start w:val="1"/>
      <w:numFmt w:val="decimal"/>
      <w:lvlText w:val="(%1)"/>
      <w:lvlJc w:val="left"/>
      <w:pPr>
        <w:ind w:left="2040" w:hanging="420"/>
      </w:pPr>
      <w:rPr>
        <w:rFonts w:hint="eastAsia"/>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15">
    <w:nsid w:val="25584BC6"/>
    <w:multiLevelType w:val="multilevel"/>
    <w:tmpl w:val="25584BC6"/>
    <w:lvl w:ilvl="0" w:tentative="0">
      <w:start w:val="1"/>
      <w:numFmt w:val="decimal"/>
      <w:lvlText w:val="%1"/>
      <w:lvlJc w:val="left"/>
      <w:pPr>
        <w:ind w:left="425" w:hanging="425"/>
      </w:pPr>
      <w:rPr>
        <w:b/>
      </w:rPr>
    </w:lvl>
    <w:lvl w:ilvl="1" w:tentative="0">
      <w:start w:val="1"/>
      <w:numFmt w:val="decimal"/>
      <w:lvlText w:val="%1.%2"/>
      <w:lvlJc w:val="left"/>
      <w:pPr>
        <w:ind w:left="992" w:hanging="567"/>
      </w:pPr>
      <w:rPr>
        <w:b/>
        <w:i w:val="0"/>
        <w:color w:val="auto"/>
      </w:rPr>
    </w:lvl>
    <w:lvl w:ilvl="2" w:tentative="0">
      <w:start w:val="1"/>
      <w:numFmt w:val="decimal"/>
      <w:lvlText w:val="%1.%2.%3"/>
      <w:lvlJc w:val="left"/>
      <w:pPr>
        <w:ind w:left="1418" w:hanging="567"/>
      </w:pPr>
      <w:rPr>
        <w:rFonts w:hint="default"/>
        <w:b w:val="0"/>
        <w:i w:val="0"/>
        <w:iCs w:val="0"/>
        <w:color w:val="auto"/>
        <w:sz w:val="24"/>
        <w:szCs w:val="24"/>
        <w:lang w:val="en-US"/>
      </w:rPr>
    </w:lvl>
    <w:lvl w:ilvl="3" w:tentative="0">
      <w:start w:val="1"/>
      <w:numFmt w:val="decimal"/>
      <w:lvlText w:val="%1.%2.%3.%4"/>
      <w:lvlJc w:val="left"/>
      <w:pPr>
        <w:ind w:left="1984" w:hanging="708"/>
      </w:pPr>
      <w:rPr>
        <w:b w:val="0"/>
      </w:r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6">
    <w:nsid w:val="26036823"/>
    <w:multiLevelType w:val="multilevel"/>
    <w:tmpl w:val="26036823"/>
    <w:lvl w:ilvl="0" w:tentative="0">
      <w:start w:val="1"/>
      <w:numFmt w:val="decimal"/>
      <w:lvlText w:val="(%1)"/>
      <w:lvlJc w:val="left"/>
      <w:pPr>
        <w:tabs>
          <w:tab w:val="left" w:pos="1333"/>
        </w:tabs>
        <w:ind w:left="1333" w:hanging="375"/>
      </w:pPr>
      <w:rPr>
        <w:rFonts w:hint="eastAsia"/>
        <w:b w:val="0"/>
        <w:color w:val="auto"/>
      </w:rPr>
    </w:lvl>
    <w:lvl w:ilvl="1" w:tentative="0">
      <w:start w:val="1"/>
      <w:numFmt w:val="lowerLetter"/>
      <w:lvlText w:val="%2)"/>
      <w:lvlJc w:val="left"/>
      <w:pPr>
        <w:tabs>
          <w:tab w:val="left" w:pos="107"/>
        </w:tabs>
        <w:ind w:left="107" w:hanging="420"/>
      </w:pPr>
    </w:lvl>
    <w:lvl w:ilvl="2" w:tentative="0">
      <w:start w:val="1"/>
      <w:numFmt w:val="lowerRoman"/>
      <w:lvlText w:val="%3."/>
      <w:lvlJc w:val="right"/>
      <w:pPr>
        <w:tabs>
          <w:tab w:val="left" w:pos="527"/>
        </w:tabs>
        <w:ind w:left="527" w:hanging="420"/>
      </w:pPr>
    </w:lvl>
    <w:lvl w:ilvl="3" w:tentative="0">
      <w:start w:val="1"/>
      <w:numFmt w:val="decimal"/>
      <w:lvlText w:val="%4."/>
      <w:lvlJc w:val="left"/>
      <w:pPr>
        <w:tabs>
          <w:tab w:val="left" w:pos="947"/>
        </w:tabs>
        <w:ind w:left="947" w:hanging="420"/>
      </w:pPr>
    </w:lvl>
    <w:lvl w:ilvl="4" w:tentative="0">
      <w:start w:val="1"/>
      <w:numFmt w:val="lowerLetter"/>
      <w:lvlText w:val="%5)"/>
      <w:lvlJc w:val="left"/>
      <w:pPr>
        <w:tabs>
          <w:tab w:val="left" w:pos="1367"/>
        </w:tabs>
        <w:ind w:left="1367" w:hanging="420"/>
      </w:pPr>
    </w:lvl>
    <w:lvl w:ilvl="5" w:tentative="0">
      <w:start w:val="1"/>
      <w:numFmt w:val="lowerRoman"/>
      <w:lvlText w:val="%6."/>
      <w:lvlJc w:val="right"/>
      <w:pPr>
        <w:tabs>
          <w:tab w:val="left" w:pos="1787"/>
        </w:tabs>
        <w:ind w:left="1787" w:hanging="420"/>
      </w:pPr>
    </w:lvl>
    <w:lvl w:ilvl="6" w:tentative="0">
      <w:start w:val="1"/>
      <w:numFmt w:val="decimal"/>
      <w:lvlText w:val="%7."/>
      <w:lvlJc w:val="left"/>
      <w:pPr>
        <w:tabs>
          <w:tab w:val="left" w:pos="2207"/>
        </w:tabs>
        <w:ind w:left="2207" w:hanging="420"/>
      </w:pPr>
    </w:lvl>
    <w:lvl w:ilvl="7" w:tentative="0">
      <w:start w:val="1"/>
      <w:numFmt w:val="lowerLetter"/>
      <w:lvlText w:val="%8)"/>
      <w:lvlJc w:val="left"/>
      <w:pPr>
        <w:tabs>
          <w:tab w:val="left" w:pos="2627"/>
        </w:tabs>
        <w:ind w:left="2627" w:hanging="420"/>
      </w:pPr>
    </w:lvl>
    <w:lvl w:ilvl="8" w:tentative="0">
      <w:start w:val="1"/>
      <w:numFmt w:val="lowerRoman"/>
      <w:lvlText w:val="%9."/>
      <w:lvlJc w:val="right"/>
      <w:pPr>
        <w:tabs>
          <w:tab w:val="left" w:pos="3047"/>
        </w:tabs>
        <w:ind w:left="3047" w:hanging="420"/>
      </w:pPr>
    </w:lvl>
  </w:abstractNum>
  <w:abstractNum w:abstractNumId="17">
    <w:nsid w:val="27176060"/>
    <w:multiLevelType w:val="multilevel"/>
    <w:tmpl w:val="27176060"/>
    <w:lvl w:ilvl="0" w:tentative="0">
      <w:start w:val="1"/>
      <w:numFmt w:val="decimal"/>
      <w:lvlText w:val="(%1)"/>
      <w:lvlJc w:val="left"/>
      <w:pPr>
        <w:ind w:left="1412" w:hanging="420"/>
      </w:pPr>
      <w:rPr>
        <w:rFonts w:hint="eastAsia"/>
      </w:r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18">
    <w:nsid w:val="2A74698E"/>
    <w:multiLevelType w:val="multilevel"/>
    <w:tmpl w:val="2A74698E"/>
    <w:lvl w:ilvl="0" w:tentative="0">
      <w:start w:val="1"/>
      <w:numFmt w:val="decimal"/>
      <w:lvlText w:val="%1"/>
      <w:lvlJc w:val="left"/>
      <w:pPr>
        <w:tabs>
          <w:tab w:val="left" w:pos="360"/>
        </w:tabs>
        <w:ind w:left="360" w:hanging="360"/>
      </w:pPr>
      <w:rPr>
        <w:rFonts w:hint="default"/>
        <w:b w:val="0"/>
      </w:rPr>
    </w:lvl>
    <w:lvl w:ilvl="1" w:tentative="0">
      <w:start w:val="1"/>
      <w:numFmt w:val="lowerLetter"/>
      <w:lvlText w:val="%2)"/>
      <w:lvlJc w:val="left"/>
      <w:pPr>
        <w:tabs>
          <w:tab w:val="left" w:pos="-900"/>
        </w:tabs>
        <w:ind w:left="-900" w:hanging="420"/>
      </w:pPr>
    </w:lvl>
    <w:lvl w:ilvl="2" w:tentative="0">
      <w:start w:val="1"/>
      <w:numFmt w:val="lowerRoman"/>
      <w:lvlText w:val="%3."/>
      <w:lvlJc w:val="right"/>
      <w:pPr>
        <w:tabs>
          <w:tab w:val="left" w:pos="-480"/>
        </w:tabs>
        <w:ind w:left="-480" w:hanging="420"/>
      </w:pPr>
    </w:lvl>
    <w:lvl w:ilvl="3" w:tentative="0">
      <w:start w:val="1"/>
      <w:numFmt w:val="decimal"/>
      <w:lvlText w:val="%4."/>
      <w:lvlJc w:val="left"/>
      <w:pPr>
        <w:tabs>
          <w:tab w:val="left" w:pos="-60"/>
        </w:tabs>
        <w:ind w:left="-60" w:hanging="420"/>
      </w:pPr>
    </w:lvl>
    <w:lvl w:ilvl="4" w:tentative="0">
      <w:start w:val="1"/>
      <w:numFmt w:val="lowerLetter"/>
      <w:lvlText w:val="%5)"/>
      <w:lvlJc w:val="left"/>
      <w:pPr>
        <w:tabs>
          <w:tab w:val="left" w:pos="360"/>
        </w:tabs>
        <w:ind w:left="360" w:hanging="420"/>
      </w:pPr>
    </w:lvl>
    <w:lvl w:ilvl="5" w:tentative="0">
      <w:start w:val="1"/>
      <w:numFmt w:val="lowerRoman"/>
      <w:lvlText w:val="%6."/>
      <w:lvlJc w:val="right"/>
      <w:pPr>
        <w:tabs>
          <w:tab w:val="left" w:pos="780"/>
        </w:tabs>
        <w:ind w:left="780" w:hanging="420"/>
      </w:pPr>
    </w:lvl>
    <w:lvl w:ilvl="6" w:tentative="0">
      <w:start w:val="1"/>
      <w:numFmt w:val="decimal"/>
      <w:lvlText w:val="%7."/>
      <w:lvlJc w:val="left"/>
      <w:pPr>
        <w:tabs>
          <w:tab w:val="left" w:pos="1200"/>
        </w:tabs>
        <w:ind w:left="1200" w:hanging="420"/>
      </w:pPr>
    </w:lvl>
    <w:lvl w:ilvl="7" w:tentative="0">
      <w:start w:val="1"/>
      <w:numFmt w:val="lowerLetter"/>
      <w:lvlText w:val="%8)"/>
      <w:lvlJc w:val="left"/>
      <w:pPr>
        <w:tabs>
          <w:tab w:val="left" w:pos="1620"/>
        </w:tabs>
        <w:ind w:left="1620" w:hanging="420"/>
      </w:pPr>
    </w:lvl>
    <w:lvl w:ilvl="8" w:tentative="0">
      <w:start w:val="1"/>
      <w:numFmt w:val="lowerRoman"/>
      <w:lvlText w:val="%9."/>
      <w:lvlJc w:val="right"/>
      <w:pPr>
        <w:tabs>
          <w:tab w:val="left" w:pos="2040"/>
        </w:tabs>
        <w:ind w:left="2040" w:hanging="420"/>
      </w:pPr>
    </w:lvl>
  </w:abstractNum>
  <w:abstractNum w:abstractNumId="19">
    <w:nsid w:val="2F115771"/>
    <w:multiLevelType w:val="multilevel"/>
    <w:tmpl w:val="2F115771"/>
    <w:lvl w:ilvl="0" w:tentative="0">
      <w:start w:val="1"/>
      <w:numFmt w:val="decimal"/>
      <w:lvlText w:val="(%1)"/>
      <w:lvlJc w:val="left"/>
      <w:pPr>
        <w:ind w:left="2040" w:hanging="420"/>
      </w:pPr>
      <w:rPr>
        <w:rFonts w:hint="eastAsia"/>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20">
    <w:nsid w:val="2F50419D"/>
    <w:multiLevelType w:val="multilevel"/>
    <w:tmpl w:val="2F50419D"/>
    <w:lvl w:ilvl="0" w:tentative="0">
      <w:start w:val="1"/>
      <w:numFmt w:val="decimal"/>
      <w:lvlText w:val="(%1)"/>
      <w:lvlJc w:val="left"/>
      <w:pPr>
        <w:tabs>
          <w:tab w:val="left" w:pos="1995"/>
        </w:tabs>
        <w:ind w:left="1995" w:hanging="375"/>
      </w:pPr>
      <w:rPr>
        <w:rFonts w:hint="eastAsia"/>
        <w:b w:val="0"/>
        <w:color w:val="auto"/>
        <w:sz w:val="24"/>
        <w:szCs w:val="24"/>
      </w:rPr>
    </w:lvl>
    <w:lvl w:ilvl="1" w:tentative="0">
      <w:start w:val="1"/>
      <w:numFmt w:val="lowerLetter"/>
      <w:lvlText w:val="%2)"/>
      <w:lvlJc w:val="left"/>
      <w:pPr>
        <w:tabs>
          <w:tab w:val="left" w:pos="769"/>
        </w:tabs>
        <w:ind w:left="769" w:hanging="420"/>
      </w:pPr>
    </w:lvl>
    <w:lvl w:ilvl="2" w:tentative="0">
      <w:start w:val="1"/>
      <w:numFmt w:val="lowerRoman"/>
      <w:lvlText w:val="%3."/>
      <w:lvlJc w:val="right"/>
      <w:pPr>
        <w:tabs>
          <w:tab w:val="left" w:pos="1189"/>
        </w:tabs>
        <w:ind w:left="1189" w:hanging="420"/>
      </w:pPr>
    </w:lvl>
    <w:lvl w:ilvl="3" w:tentative="0">
      <w:start w:val="1"/>
      <w:numFmt w:val="decimal"/>
      <w:lvlText w:val="%4."/>
      <w:lvlJc w:val="left"/>
      <w:pPr>
        <w:tabs>
          <w:tab w:val="left" w:pos="1609"/>
        </w:tabs>
        <w:ind w:left="1609" w:hanging="420"/>
      </w:pPr>
    </w:lvl>
    <w:lvl w:ilvl="4" w:tentative="0">
      <w:start w:val="1"/>
      <w:numFmt w:val="lowerLetter"/>
      <w:lvlText w:val="%5)"/>
      <w:lvlJc w:val="left"/>
      <w:pPr>
        <w:tabs>
          <w:tab w:val="left" w:pos="2029"/>
        </w:tabs>
        <w:ind w:left="2029" w:hanging="420"/>
      </w:pPr>
    </w:lvl>
    <w:lvl w:ilvl="5" w:tentative="0">
      <w:start w:val="1"/>
      <w:numFmt w:val="lowerRoman"/>
      <w:lvlText w:val="%6."/>
      <w:lvlJc w:val="right"/>
      <w:pPr>
        <w:tabs>
          <w:tab w:val="left" w:pos="2449"/>
        </w:tabs>
        <w:ind w:left="2449" w:hanging="420"/>
      </w:pPr>
    </w:lvl>
    <w:lvl w:ilvl="6" w:tentative="0">
      <w:start w:val="1"/>
      <w:numFmt w:val="decimal"/>
      <w:lvlText w:val="%7."/>
      <w:lvlJc w:val="left"/>
      <w:pPr>
        <w:tabs>
          <w:tab w:val="left" w:pos="2869"/>
        </w:tabs>
        <w:ind w:left="2869" w:hanging="420"/>
      </w:pPr>
    </w:lvl>
    <w:lvl w:ilvl="7" w:tentative="0">
      <w:start w:val="1"/>
      <w:numFmt w:val="lowerLetter"/>
      <w:lvlText w:val="%8)"/>
      <w:lvlJc w:val="left"/>
      <w:pPr>
        <w:tabs>
          <w:tab w:val="left" w:pos="3289"/>
        </w:tabs>
        <w:ind w:left="3289" w:hanging="420"/>
      </w:pPr>
    </w:lvl>
    <w:lvl w:ilvl="8" w:tentative="0">
      <w:start w:val="1"/>
      <w:numFmt w:val="lowerRoman"/>
      <w:lvlText w:val="%9."/>
      <w:lvlJc w:val="right"/>
      <w:pPr>
        <w:tabs>
          <w:tab w:val="left" w:pos="3709"/>
        </w:tabs>
        <w:ind w:left="3709" w:hanging="420"/>
      </w:pPr>
    </w:lvl>
  </w:abstractNum>
  <w:abstractNum w:abstractNumId="21">
    <w:nsid w:val="2F81230A"/>
    <w:multiLevelType w:val="multilevel"/>
    <w:tmpl w:val="2F81230A"/>
    <w:lvl w:ilvl="0" w:tentative="0">
      <w:start w:val="1"/>
      <w:numFmt w:val="decimal"/>
      <w:lvlText w:val="(%1)"/>
      <w:lvlJc w:val="left"/>
      <w:pPr>
        <w:ind w:left="1838" w:hanging="420"/>
      </w:pPr>
      <w:rPr>
        <w:rFonts w:hint="eastAsia"/>
      </w:rPr>
    </w:lvl>
    <w:lvl w:ilvl="1" w:tentative="0">
      <w:start w:val="1"/>
      <w:numFmt w:val="lowerLetter"/>
      <w:lvlText w:val="%2)"/>
      <w:lvlJc w:val="left"/>
      <w:pPr>
        <w:ind w:left="2258" w:hanging="420"/>
      </w:pPr>
    </w:lvl>
    <w:lvl w:ilvl="2" w:tentative="0">
      <w:start w:val="1"/>
      <w:numFmt w:val="lowerRoman"/>
      <w:lvlText w:val="%3."/>
      <w:lvlJc w:val="right"/>
      <w:pPr>
        <w:ind w:left="2678" w:hanging="420"/>
      </w:pPr>
    </w:lvl>
    <w:lvl w:ilvl="3" w:tentative="0">
      <w:start w:val="1"/>
      <w:numFmt w:val="decimal"/>
      <w:lvlText w:val="%4."/>
      <w:lvlJc w:val="left"/>
      <w:pPr>
        <w:ind w:left="3098" w:hanging="420"/>
      </w:pPr>
    </w:lvl>
    <w:lvl w:ilvl="4" w:tentative="0">
      <w:start w:val="1"/>
      <w:numFmt w:val="lowerLetter"/>
      <w:lvlText w:val="%5)"/>
      <w:lvlJc w:val="left"/>
      <w:pPr>
        <w:ind w:left="3518" w:hanging="420"/>
      </w:pPr>
    </w:lvl>
    <w:lvl w:ilvl="5" w:tentative="0">
      <w:start w:val="1"/>
      <w:numFmt w:val="lowerRoman"/>
      <w:lvlText w:val="%6."/>
      <w:lvlJc w:val="right"/>
      <w:pPr>
        <w:ind w:left="3938" w:hanging="420"/>
      </w:pPr>
    </w:lvl>
    <w:lvl w:ilvl="6" w:tentative="0">
      <w:start w:val="1"/>
      <w:numFmt w:val="decimal"/>
      <w:lvlText w:val="%7."/>
      <w:lvlJc w:val="left"/>
      <w:pPr>
        <w:ind w:left="4358" w:hanging="420"/>
      </w:pPr>
    </w:lvl>
    <w:lvl w:ilvl="7" w:tentative="0">
      <w:start w:val="1"/>
      <w:numFmt w:val="lowerLetter"/>
      <w:lvlText w:val="%8)"/>
      <w:lvlJc w:val="left"/>
      <w:pPr>
        <w:ind w:left="4778" w:hanging="420"/>
      </w:pPr>
    </w:lvl>
    <w:lvl w:ilvl="8" w:tentative="0">
      <w:start w:val="1"/>
      <w:numFmt w:val="lowerRoman"/>
      <w:lvlText w:val="%9."/>
      <w:lvlJc w:val="right"/>
      <w:pPr>
        <w:ind w:left="5198" w:hanging="420"/>
      </w:pPr>
    </w:lvl>
  </w:abstractNum>
  <w:abstractNum w:abstractNumId="22">
    <w:nsid w:val="2F8425AE"/>
    <w:multiLevelType w:val="multilevel"/>
    <w:tmpl w:val="2F8425AE"/>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23">
    <w:nsid w:val="322F0439"/>
    <w:multiLevelType w:val="multilevel"/>
    <w:tmpl w:val="322F0439"/>
    <w:lvl w:ilvl="0" w:tentative="0">
      <w:start w:val="1"/>
      <w:numFmt w:val="decimal"/>
      <w:lvlText w:val="(%1)"/>
      <w:lvlJc w:val="left"/>
      <w:pPr>
        <w:ind w:left="1838" w:hanging="420"/>
      </w:pPr>
      <w:rPr>
        <w:rFonts w:hint="eastAsia"/>
      </w:rPr>
    </w:lvl>
    <w:lvl w:ilvl="1" w:tentative="0">
      <w:start w:val="1"/>
      <w:numFmt w:val="lowerLetter"/>
      <w:lvlText w:val="%2)"/>
      <w:lvlJc w:val="left"/>
      <w:pPr>
        <w:ind w:left="2258" w:hanging="420"/>
      </w:pPr>
    </w:lvl>
    <w:lvl w:ilvl="2" w:tentative="0">
      <w:start w:val="1"/>
      <w:numFmt w:val="lowerRoman"/>
      <w:lvlText w:val="%3."/>
      <w:lvlJc w:val="right"/>
      <w:pPr>
        <w:ind w:left="2678" w:hanging="420"/>
      </w:pPr>
    </w:lvl>
    <w:lvl w:ilvl="3" w:tentative="0">
      <w:start w:val="1"/>
      <w:numFmt w:val="decimal"/>
      <w:lvlText w:val="%4."/>
      <w:lvlJc w:val="left"/>
      <w:pPr>
        <w:ind w:left="3098" w:hanging="420"/>
      </w:pPr>
    </w:lvl>
    <w:lvl w:ilvl="4" w:tentative="0">
      <w:start w:val="1"/>
      <w:numFmt w:val="lowerLetter"/>
      <w:lvlText w:val="%5)"/>
      <w:lvlJc w:val="left"/>
      <w:pPr>
        <w:ind w:left="3518" w:hanging="420"/>
      </w:pPr>
    </w:lvl>
    <w:lvl w:ilvl="5" w:tentative="0">
      <w:start w:val="1"/>
      <w:numFmt w:val="lowerRoman"/>
      <w:lvlText w:val="%6."/>
      <w:lvlJc w:val="right"/>
      <w:pPr>
        <w:ind w:left="3938" w:hanging="420"/>
      </w:pPr>
    </w:lvl>
    <w:lvl w:ilvl="6" w:tentative="0">
      <w:start w:val="1"/>
      <w:numFmt w:val="decimal"/>
      <w:lvlText w:val="%7."/>
      <w:lvlJc w:val="left"/>
      <w:pPr>
        <w:ind w:left="4358" w:hanging="420"/>
      </w:pPr>
    </w:lvl>
    <w:lvl w:ilvl="7" w:tentative="0">
      <w:start w:val="1"/>
      <w:numFmt w:val="lowerLetter"/>
      <w:lvlText w:val="%8)"/>
      <w:lvlJc w:val="left"/>
      <w:pPr>
        <w:ind w:left="4778" w:hanging="420"/>
      </w:pPr>
    </w:lvl>
    <w:lvl w:ilvl="8" w:tentative="0">
      <w:start w:val="1"/>
      <w:numFmt w:val="lowerRoman"/>
      <w:lvlText w:val="%9."/>
      <w:lvlJc w:val="right"/>
      <w:pPr>
        <w:ind w:left="5198" w:hanging="420"/>
      </w:pPr>
    </w:lvl>
  </w:abstractNum>
  <w:abstractNum w:abstractNumId="24">
    <w:nsid w:val="35665AE1"/>
    <w:multiLevelType w:val="multilevel"/>
    <w:tmpl w:val="35665AE1"/>
    <w:lvl w:ilvl="0" w:tentative="0">
      <w:start w:val="1"/>
      <w:numFmt w:val="decimal"/>
      <w:pStyle w:val="111"/>
      <w:lvlText w:val="%1."/>
      <w:lvlJc w:val="left"/>
      <w:pPr>
        <w:tabs>
          <w:tab w:val="left" w:pos="720"/>
        </w:tabs>
        <w:ind w:left="0" w:firstLine="0"/>
      </w:pPr>
      <w:rPr>
        <w:rFonts w:ascii="Times New Roman" w:hAnsi="Times New Roman"/>
        <w:b w:val="0"/>
        <w:i w:val="0"/>
        <w:caps w:val="0"/>
        <w:color w:val="auto"/>
        <w:u w:val="none"/>
      </w:rPr>
    </w:lvl>
    <w:lvl w:ilvl="1" w:tentative="0">
      <w:start w:val="1"/>
      <w:numFmt w:val="lowerLetter"/>
      <w:lvlText w:val="(%2)"/>
      <w:lvlJc w:val="left"/>
      <w:pPr>
        <w:tabs>
          <w:tab w:val="left" w:pos="720"/>
        </w:tabs>
        <w:ind w:left="720" w:hanging="720"/>
      </w:pPr>
      <w:rPr>
        <w:rFonts w:ascii="Times New Roman" w:hAnsi="Times New Roman"/>
        <w:b w:val="0"/>
        <w:i w:val="0"/>
        <w:caps w:val="0"/>
        <w:color w:val="auto"/>
        <w:u w:val="none"/>
      </w:rPr>
    </w:lvl>
    <w:lvl w:ilvl="2" w:tentative="0">
      <w:start w:val="1"/>
      <w:numFmt w:val="lowerRoman"/>
      <w:lvlText w:val="(%3)"/>
      <w:lvlJc w:val="right"/>
      <w:pPr>
        <w:tabs>
          <w:tab w:val="left" w:pos="1440"/>
        </w:tabs>
        <w:ind w:left="1440" w:hanging="216"/>
      </w:pPr>
      <w:rPr>
        <w:rFonts w:ascii="Times New Roman" w:hAnsi="Times New Roman"/>
        <w:b w:val="0"/>
        <w:i w:val="0"/>
        <w:caps w:val="0"/>
        <w:color w:val="auto"/>
        <w:u w:val="none"/>
      </w:rPr>
    </w:lvl>
    <w:lvl w:ilvl="3" w:tentative="0">
      <w:start w:val="1"/>
      <w:numFmt w:val="upperLetter"/>
      <w:lvlText w:val="(%4)"/>
      <w:lvlJc w:val="left"/>
      <w:pPr>
        <w:tabs>
          <w:tab w:val="left" w:pos="2160"/>
        </w:tabs>
        <w:ind w:left="2160" w:hanging="720"/>
      </w:pPr>
      <w:rPr>
        <w:rFonts w:ascii="Times New Roman" w:hAnsi="Times New Roman"/>
        <w:b w:val="0"/>
        <w:i w:val="0"/>
        <w:caps w:val="0"/>
        <w:color w:val="auto"/>
        <w:u w:val="none"/>
      </w:rPr>
    </w:lvl>
    <w:lvl w:ilvl="4" w:tentative="0">
      <w:start w:val="1"/>
      <w:numFmt w:val="upperRoman"/>
      <w:lvlText w:val="(%5)"/>
      <w:lvlJc w:val="right"/>
      <w:pPr>
        <w:tabs>
          <w:tab w:val="left" w:pos="2880"/>
        </w:tabs>
        <w:ind w:left="2880" w:hanging="216"/>
      </w:pPr>
      <w:rPr>
        <w:rFonts w:ascii="Times New Roman" w:hAnsi="Times New Roman"/>
        <w:b w:val="0"/>
        <w:i w:val="0"/>
        <w:caps w:val="0"/>
        <w:color w:val="auto"/>
        <w:u w:val="none"/>
      </w:rPr>
    </w:lvl>
    <w:lvl w:ilvl="5" w:tentative="0">
      <w:start w:val="27"/>
      <w:numFmt w:val="lowerLetter"/>
      <w:lvlText w:val="(%6)"/>
      <w:lvlJc w:val="left"/>
      <w:pPr>
        <w:tabs>
          <w:tab w:val="left" w:pos="3600"/>
        </w:tabs>
        <w:ind w:left="3600" w:hanging="720"/>
      </w:pPr>
      <w:rPr>
        <w:rFonts w:ascii="Times New Roman" w:hAnsi="Times New Roman"/>
        <w:b w:val="0"/>
        <w:i w:val="0"/>
        <w:caps w:val="0"/>
        <w:color w:val="auto"/>
        <w:u w:val="none"/>
      </w:rPr>
    </w:lvl>
    <w:lvl w:ilvl="6" w:tentative="0">
      <w:start w:val="1"/>
      <w:numFmt w:val="decimal"/>
      <w:lvlText w:val="(%7)"/>
      <w:lvlJc w:val="left"/>
      <w:pPr>
        <w:tabs>
          <w:tab w:val="left" w:pos="4320"/>
        </w:tabs>
        <w:ind w:left="4320" w:hanging="720"/>
      </w:pPr>
      <w:rPr>
        <w:rFonts w:ascii="Times New Roman" w:hAnsi="Times New Roman"/>
        <w:b w:val="0"/>
        <w:i w:val="0"/>
        <w:caps w:val="0"/>
        <w:color w:val="auto"/>
        <w:u w:val="none"/>
      </w:rPr>
    </w:lvl>
    <w:lvl w:ilvl="7" w:tentative="0">
      <w:start w:val="1"/>
      <w:numFmt w:val="lowerRoman"/>
      <w:lvlText w:val="%8."/>
      <w:lvlJc w:val="left"/>
      <w:pPr>
        <w:tabs>
          <w:tab w:val="left" w:pos="5760"/>
        </w:tabs>
        <w:ind w:left="0" w:firstLine="5040"/>
      </w:pPr>
      <w:rPr>
        <w:rFonts w:ascii="Times New Roman" w:hAnsi="Times New Roman"/>
        <w:b w:val="0"/>
        <w:i w:val="0"/>
        <w:caps w:val="0"/>
        <w:color w:val="auto"/>
        <w:u w:val="none"/>
      </w:rPr>
    </w:lvl>
    <w:lvl w:ilvl="8" w:tentative="0">
      <w:start w:val="1"/>
      <w:numFmt w:val="decimal"/>
      <w:lvlText w:val="%9."/>
      <w:lvlJc w:val="left"/>
      <w:pPr>
        <w:tabs>
          <w:tab w:val="left" w:pos="6480"/>
        </w:tabs>
        <w:ind w:left="0" w:firstLine="5760"/>
      </w:pPr>
      <w:rPr>
        <w:rFonts w:ascii="Times New Roman" w:hAnsi="Times New Roman"/>
        <w:b w:val="0"/>
        <w:i w:val="0"/>
        <w:caps w:val="0"/>
        <w:color w:val="auto"/>
        <w:u w:val="none"/>
      </w:rPr>
    </w:lvl>
  </w:abstractNum>
  <w:abstractNum w:abstractNumId="25">
    <w:nsid w:val="40A70A6B"/>
    <w:multiLevelType w:val="multilevel"/>
    <w:tmpl w:val="40A70A6B"/>
    <w:lvl w:ilvl="0" w:tentative="0">
      <w:start w:val="1"/>
      <w:numFmt w:val="decimal"/>
      <w:suff w:val="nothing"/>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6">
    <w:nsid w:val="42156BBF"/>
    <w:multiLevelType w:val="multilevel"/>
    <w:tmpl w:val="42156BBF"/>
    <w:lvl w:ilvl="0" w:tentative="0">
      <w:start w:val="1"/>
      <w:numFmt w:val="decimal"/>
      <w:lvlText w:val="(%1)"/>
      <w:lvlJc w:val="left"/>
      <w:pPr>
        <w:tabs>
          <w:tab w:val="left" w:pos="1995"/>
        </w:tabs>
        <w:ind w:left="1995" w:hanging="375"/>
      </w:pPr>
      <w:rPr>
        <w:rFonts w:hint="eastAsia"/>
        <w:b w:val="0"/>
        <w:color w:val="auto"/>
        <w:sz w:val="24"/>
        <w:szCs w:val="24"/>
      </w:rPr>
    </w:lvl>
    <w:lvl w:ilvl="1" w:tentative="0">
      <w:start w:val="1"/>
      <w:numFmt w:val="lowerLetter"/>
      <w:lvlText w:val="%2)"/>
      <w:lvlJc w:val="left"/>
      <w:pPr>
        <w:tabs>
          <w:tab w:val="left" w:pos="769"/>
        </w:tabs>
        <w:ind w:left="769" w:hanging="420"/>
      </w:pPr>
    </w:lvl>
    <w:lvl w:ilvl="2" w:tentative="0">
      <w:start w:val="1"/>
      <w:numFmt w:val="lowerRoman"/>
      <w:lvlText w:val="%3."/>
      <w:lvlJc w:val="right"/>
      <w:pPr>
        <w:tabs>
          <w:tab w:val="left" w:pos="1189"/>
        </w:tabs>
        <w:ind w:left="1189" w:hanging="420"/>
      </w:pPr>
    </w:lvl>
    <w:lvl w:ilvl="3" w:tentative="0">
      <w:start w:val="1"/>
      <w:numFmt w:val="decimal"/>
      <w:lvlText w:val="%4."/>
      <w:lvlJc w:val="left"/>
      <w:pPr>
        <w:tabs>
          <w:tab w:val="left" w:pos="1609"/>
        </w:tabs>
        <w:ind w:left="1609" w:hanging="420"/>
      </w:pPr>
    </w:lvl>
    <w:lvl w:ilvl="4" w:tentative="0">
      <w:start w:val="1"/>
      <w:numFmt w:val="lowerLetter"/>
      <w:lvlText w:val="%5)"/>
      <w:lvlJc w:val="left"/>
      <w:pPr>
        <w:tabs>
          <w:tab w:val="left" w:pos="2029"/>
        </w:tabs>
        <w:ind w:left="2029" w:hanging="420"/>
      </w:pPr>
    </w:lvl>
    <w:lvl w:ilvl="5" w:tentative="0">
      <w:start w:val="1"/>
      <w:numFmt w:val="lowerRoman"/>
      <w:lvlText w:val="%6."/>
      <w:lvlJc w:val="right"/>
      <w:pPr>
        <w:tabs>
          <w:tab w:val="left" w:pos="2449"/>
        </w:tabs>
        <w:ind w:left="2449" w:hanging="420"/>
      </w:pPr>
    </w:lvl>
    <w:lvl w:ilvl="6" w:tentative="0">
      <w:start w:val="1"/>
      <w:numFmt w:val="decimal"/>
      <w:lvlText w:val="%7."/>
      <w:lvlJc w:val="left"/>
      <w:pPr>
        <w:tabs>
          <w:tab w:val="left" w:pos="2869"/>
        </w:tabs>
        <w:ind w:left="2869" w:hanging="420"/>
      </w:pPr>
    </w:lvl>
    <w:lvl w:ilvl="7" w:tentative="0">
      <w:start w:val="1"/>
      <w:numFmt w:val="lowerLetter"/>
      <w:lvlText w:val="%8)"/>
      <w:lvlJc w:val="left"/>
      <w:pPr>
        <w:tabs>
          <w:tab w:val="left" w:pos="3289"/>
        </w:tabs>
        <w:ind w:left="3289" w:hanging="420"/>
      </w:pPr>
    </w:lvl>
    <w:lvl w:ilvl="8" w:tentative="0">
      <w:start w:val="1"/>
      <w:numFmt w:val="lowerRoman"/>
      <w:lvlText w:val="%9."/>
      <w:lvlJc w:val="right"/>
      <w:pPr>
        <w:tabs>
          <w:tab w:val="left" w:pos="3709"/>
        </w:tabs>
        <w:ind w:left="3709" w:hanging="420"/>
      </w:pPr>
    </w:lvl>
  </w:abstractNum>
  <w:abstractNum w:abstractNumId="27">
    <w:nsid w:val="458B1B06"/>
    <w:multiLevelType w:val="multilevel"/>
    <w:tmpl w:val="458B1B06"/>
    <w:lvl w:ilvl="0" w:tentative="0">
      <w:start w:val="1"/>
      <w:numFmt w:val="decimal"/>
      <w:lvlText w:val="(%1)"/>
      <w:lvlJc w:val="left"/>
      <w:pPr>
        <w:ind w:left="1838" w:hanging="420"/>
      </w:pPr>
      <w:rPr>
        <w:rFonts w:hint="eastAsia"/>
        <w:b w:val="0"/>
        <w:bCs/>
        <w:i w:val="0"/>
        <w:iCs/>
        <w:color w:val="auto"/>
      </w:rPr>
    </w:lvl>
    <w:lvl w:ilvl="1" w:tentative="0">
      <w:start w:val="1"/>
      <w:numFmt w:val="lowerLetter"/>
      <w:lvlText w:val="%2)"/>
      <w:lvlJc w:val="left"/>
      <w:pPr>
        <w:ind w:left="2258" w:hanging="420"/>
      </w:pPr>
    </w:lvl>
    <w:lvl w:ilvl="2" w:tentative="0">
      <w:start w:val="1"/>
      <w:numFmt w:val="lowerRoman"/>
      <w:lvlText w:val="%3."/>
      <w:lvlJc w:val="right"/>
      <w:pPr>
        <w:ind w:left="2678" w:hanging="420"/>
      </w:pPr>
    </w:lvl>
    <w:lvl w:ilvl="3" w:tentative="0">
      <w:start w:val="1"/>
      <w:numFmt w:val="decimal"/>
      <w:lvlText w:val="%4."/>
      <w:lvlJc w:val="left"/>
      <w:pPr>
        <w:ind w:left="3098" w:hanging="420"/>
      </w:pPr>
    </w:lvl>
    <w:lvl w:ilvl="4" w:tentative="0">
      <w:start w:val="1"/>
      <w:numFmt w:val="lowerLetter"/>
      <w:lvlText w:val="%5)"/>
      <w:lvlJc w:val="left"/>
      <w:pPr>
        <w:ind w:left="3518" w:hanging="420"/>
      </w:pPr>
    </w:lvl>
    <w:lvl w:ilvl="5" w:tentative="0">
      <w:start w:val="1"/>
      <w:numFmt w:val="lowerRoman"/>
      <w:lvlText w:val="%6."/>
      <w:lvlJc w:val="right"/>
      <w:pPr>
        <w:ind w:left="3938" w:hanging="420"/>
      </w:pPr>
    </w:lvl>
    <w:lvl w:ilvl="6" w:tentative="0">
      <w:start w:val="1"/>
      <w:numFmt w:val="decimal"/>
      <w:lvlText w:val="%7."/>
      <w:lvlJc w:val="left"/>
      <w:pPr>
        <w:ind w:left="4358" w:hanging="420"/>
      </w:pPr>
    </w:lvl>
    <w:lvl w:ilvl="7" w:tentative="0">
      <w:start w:val="1"/>
      <w:numFmt w:val="lowerLetter"/>
      <w:lvlText w:val="%8)"/>
      <w:lvlJc w:val="left"/>
      <w:pPr>
        <w:ind w:left="4778" w:hanging="420"/>
      </w:pPr>
    </w:lvl>
    <w:lvl w:ilvl="8" w:tentative="0">
      <w:start w:val="1"/>
      <w:numFmt w:val="lowerRoman"/>
      <w:lvlText w:val="%9."/>
      <w:lvlJc w:val="right"/>
      <w:pPr>
        <w:ind w:left="5198" w:hanging="420"/>
      </w:pPr>
    </w:lvl>
  </w:abstractNum>
  <w:abstractNum w:abstractNumId="28">
    <w:nsid w:val="46F7416E"/>
    <w:multiLevelType w:val="multilevel"/>
    <w:tmpl w:val="46F7416E"/>
    <w:lvl w:ilvl="0" w:tentative="0">
      <w:start w:val="1"/>
      <w:numFmt w:val="decimal"/>
      <w:lvlText w:val="%1"/>
      <w:lvlJc w:val="left"/>
      <w:pPr>
        <w:tabs>
          <w:tab w:val="left" w:pos="840"/>
        </w:tabs>
        <w:ind w:left="840" w:hanging="420"/>
      </w:pPr>
      <w:rPr>
        <w:rFonts w:hint="eastAsia"/>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29">
    <w:nsid w:val="48B20C66"/>
    <w:multiLevelType w:val="multilevel"/>
    <w:tmpl w:val="48B20C66"/>
    <w:lvl w:ilvl="0" w:tentative="0">
      <w:start w:val="1"/>
      <w:numFmt w:val="decimal"/>
      <w:lvlText w:val="(%1)"/>
      <w:lvlJc w:val="left"/>
      <w:pPr>
        <w:ind w:left="1412" w:hanging="420"/>
      </w:pPr>
      <w:rPr>
        <w:rFonts w:hint="eastAsia"/>
      </w:r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30">
    <w:nsid w:val="4F9714BF"/>
    <w:multiLevelType w:val="multilevel"/>
    <w:tmpl w:val="4F9714BF"/>
    <w:lvl w:ilvl="0" w:tentative="0">
      <w:start w:val="1"/>
      <w:numFmt w:val="decimal"/>
      <w:lvlText w:val="(%1)"/>
      <w:lvlJc w:val="left"/>
      <w:pPr>
        <w:ind w:left="1838" w:hanging="420"/>
      </w:pPr>
      <w:rPr>
        <w:rFonts w:hint="eastAsia"/>
      </w:rPr>
    </w:lvl>
    <w:lvl w:ilvl="1" w:tentative="0">
      <w:start w:val="1"/>
      <w:numFmt w:val="lowerLetter"/>
      <w:lvlText w:val="%2)"/>
      <w:lvlJc w:val="left"/>
      <w:pPr>
        <w:ind w:left="2258" w:hanging="420"/>
      </w:pPr>
    </w:lvl>
    <w:lvl w:ilvl="2" w:tentative="0">
      <w:start w:val="1"/>
      <w:numFmt w:val="lowerRoman"/>
      <w:lvlText w:val="%3."/>
      <w:lvlJc w:val="right"/>
      <w:pPr>
        <w:ind w:left="2678" w:hanging="420"/>
      </w:pPr>
    </w:lvl>
    <w:lvl w:ilvl="3" w:tentative="0">
      <w:start w:val="1"/>
      <w:numFmt w:val="decimal"/>
      <w:lvlText w:val="%4."/>
      <w:lvlJc w:val="left"/>
      <w:pPr>
        <w:ind w:left="3098" w:hanging="420"/>
      </w:pPr>
    </w:lvl>
    <w:lvl w:ilvl="4" w:tentative="0">
      <w:start w:val="1"/>
      <w:numFmt w:val="lowerLetter"/>
      <w:lvlText w:val="%5)"/>
      <w:lvlJc w:val="left"/>
      <w:pPr>
        <w:ind w:left="3518" w:hanging="420"/>
      </w:pPr>
    </w:lvl>
    <w:lvl w:ilvl="5" w:tentative="0">
      <w:start w:val="1"/>
      <w:numFmt w:val="lowerRoman"/>
      <w:lvlText w:val="%6."/>
      <w:lvlJc w:val="right"/>
      <w:pPr>
        <w:ind w:left="3938" w:hanging="420"/>
      </w:pPr>
    </w:lvl>
    <w:lvl w:ilvl="6" w:tentative="0">
      <w:start w:val="1"/>
      <w:numFmt w:val="decimal"/>
      <w:lvlText w:val="%7."/>
      <w:lvlJc w:val="left"/>
      <w:pPr>
        <w:ind w:left="4358" w:hanging="420"/>
      </w:pPr>
    </w:lvl>
    <w:lvl w:ilvl="7" w:tentative="0">
      <w:start w:val="1"/>
      <w:numFmt w:val="lowerLetter"/>
      <w:lvlText w:val="%8)"/>
      <w:lvlJc w:val="left"/>
      <w:pPr>
        <w:ind w:left="4778" w:hanging="420"/>
      </w:pPr>
    </w:lvl>
    <w:lvl w:ilvl="8" w:tentative="0">
      <w:start w:val="1"/>
      <w:numFmt w:val="lowerRoman"/>
      <w:lvlText w:val="%9."/>
      <w:lvlJc w:val="right"/>
      <w:pPr>
        <w:ind w:left="5198" w:hanging="420"/>
      </w:pPr>
    </w:lvl>
  </w:abstractNum>
  <w:abstractNum w:abstractNumId="31">
    <w:nsid w:val="53DE423C"/>
    <w:multiLevelType w:val="multilevel"/>
    <w:tmpl w:val="53DE423C"/>
    <w:lvl w:ilvl="0" w:tentative="0">
      <w:start w:val="1"/>
      <w:numFmt w:val="decimal"/>
      <w:lvlText w:val="(%1)"/>
      <w:lvlJc w:val="left"/>
      <w:pPr>
        <w:ind w:left="1413" w:hanging="420"/>
      </w:pPr>
      <w:rPr>
        <w:rFonts w:hint="default"/>
      </w:rPr>
    </w:lvl>
    <w:lvl w:ilvl="1" w:tentative="0">
      <w:start w:val="1"/>
      <w:numFmt w:val="lowerLetter"/>
      <w:lvlText w:val="%2)"/>
      <w:lvlJc w:val="left"/>
      <w:pPr>
        <w:ind w:left="1798" w:hanging="420"/>
      </w:pPr>
    </w:lvl>
    <w:lvl w:ilvl="2" w:tentative="0">
      <w:start w:val="1"/>
      <w:numFmt w:val="lowerRoman"/>
      <w:lvlText w:val="%3."/>
      <w:lvlJc w:val="right"/>
      <w:pPr>
        <w:ind w:left="2218" w:hanging="420"/>
      </w:pPr>
    </w:lvl>
    <w:lvl w:ilvl="3" w:tentative="0">
      <w:start w:val="1"/>
      <w:numFmt w:val="decimal"/>
      <w:lvlText w:val="%4."/>
      <w:lvlJc w:val="left"/>
      <w:pPr>
        <w:ind w:left="2638" w:hanging="420"/>
      </w:pPr>
    </w:lvl>
    <w:lvl w:ilvl="4" w:tentative="0">
      <w:start w:val="1"/>
      <w:numFmt w:val="lowerLetter"/>
      <w:lvlText w:val="%5)"/>
      <w:lvlJc w:val="left"/>
      <w:pPr>
        <w:ind w:left="3058" w:hanging="420"/>
      </w:pPr>
    </w:lvl>
    <w:lvl w:ilvl="5" w:tentative="0">
      <w:start w:val="1"/>
      <w:numFmt w:val="lowerRoman"/>
      <w:lvlText w:val="%6."/>
      <w:lvlJc w:val="right"/>
      <w:pPr>
        <w:ind w:left="3478" w:hanging="420"/>
      </w:pPr>
    </w:lvl>
    <w:lvl w:ilvl="6" w:tentative="0">
      <w:start w:val="1"/>
      <w:numFmt w:val="decimal"/>
      <w:lvlText w:val="%7."/>
      <w:lvlJc w:val="left"/>
      <w:pPr>
        <w:ind w:left="3898" w:hanging="420"/>
      </w:pPr>
    </w:lvl>
    <w:lvl w:ilvl="7" w:tentative="0">
      <w:start w:val="1"/>
      <w:numFmt w:val="lowerLetter"/>
      <w:lvlText w:val="%8)"/>
      <w:lvlJc w:val="left"/>
      <w:pPr>
        <w:ind w:left="4318" w:hanging="420"/>
      </w:pPr>
    </w:lvl>
    <w:lvl w:ilvl="8" w:tentative="0">
      <w:start w:val="1"/>
      <w:numFmt w:val="lowerRoman"/>
      <w:lvlText w:val="%9."/>
      <w:lvlJc w:val="right"/>
      <w:pPr>
        <w:ind w:left="4738" w:hanging="420"/>
      </w:pPr>
    </w:lvl>
  </w:abstractNum>
  <w:abstractNum w:abstractNumId="32">
    <w:nsid w:val="55CF2B77"/>
    <w:multiLevelType w:val="multilevel"/>
    <w:tmpl w:val="55CF2B77"/>
    <w:lvl w:ilvl="0" w:tentative="0">
      <w:start w:val="1"/>
      <w:numFmt w:val="decimal"/>
      <w:lvlText w:val="(%1)"/>
      <w:lvlJc w:val="left"/>
      <w:pPr>
        <w:ind w:left="2040" w:hanging="420"/>
      </w:pPr>
      <w:rPr>
        <w:rFonts w:hint="eastAsia"/>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33">
    <w:nsid w:val="580E516B"/>
    <w:multiLevelType w:val="multilevel"/>
    <w:tmpl w:val="580E516B"/>
    <w:lvl w:ilvl="0" w:tentative="0">
      <w:start w:val="1"/>
      <w:numFmt w:val="decimal"/>
      <w:lvlText w:val="%1"/>
      <w:lvlJc w:val="left"/>
      <w:pPr>
        <w:tabs>
          <w:tab w:val="left" w:pos="840"/>
        </w:tabs>
        <w:ind w:left="840" w:hanging="420"/>
      </w:pPr>
      <w:rPr>
        <w:rFonts w:hint="eastAsia"/>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34">
    <w:nsid w:val="58F62DFD"/>
    <w:multiLevelType w:val="multilevel"/>
    <w:tmpl w:val="58F62DFD"/>
    <w:lvl w:ilvl="0" w:tentative="0">
      <w:start w:val="1"/>
      <w:numFmt w:val="decimal"/>
      <w:lvlText w:val="(%1)"/>
      <w:lvlJc w:val="left"/>
      <w:pPr>
        <w:ind w:left="1838" w:hanging="420"/>
      </w:pPr>
      <w:rPr>
        <w:rFonts w:hint="eastAsia"/>
      </w:rPr>
    </w:lvl>
    <w:lvl w:ilvl="1" w:tentative="0">
      <w:start w:val="1"/>
      <w:numFmt w:val="lowerLetter"/>
      <w:lvlText w:val="%2)"/>
      <w:lvlJc w:val="left"/>
      <w:pPr>
        <w:ind w:left="2258" w:hanging="420"/>
      </w:pPr>
    </w:lvl>
    <w:lvl w:ilvl="2" w:tentative="0">
      <w:start w:val="1"/>
      <w:numFmt w:val="lowerRoman"/>
      <w:lvlText w:val="%3."/>
      <w:lvlJc w:val="right"/>
      <w:pPr>
        <w:ind w:left="2678" w:hanging="420"/>
      </w:pPr>
    </w:lvl>
    <w:lvl w:ilvl="3" w:tentative="0">
      <w:start w:val="1"/>
      <w:numFmt w:val="decimal"/>
      <w:lvlText w:val="%4."/>
      <w:lvlJc w:val="left"/>
      <w:pPr>
        <w:ind w:left="3098" w:hanging="420"/>
      </w:pPr>
    </w:lvl>
    <w:lvl w:ilvl="4" w:tentative="0">
      <w:start w:val="1"/>
      <w:numFmt w:val="lowerLetter"/>
      <w:lvlText w:val="%5)"/>
      <w:lvlJc w:val="left"/>
      <w:pPr>
        <w:ind w:left="3518" w:hanging="420"/>
      </w:pPr>
    </w:lvl>
    <w:lvl w:ilvl="5" w:tentative="0">
      <w:start w:val="1"/>
      <w:numFmt w:val="lowerRoman"/>
      <w:lvlText w:val="%6."/>
      <w:lvlJc w:val="right"/>
      <w:pPr>
        <w:ind w:left="3938" w:hanging="420"/>
      </w:pPr>
    </w:lvl>
    <w:lvl w:ilvl="6" w:tentative="0">
      <w:start w:val="1"/>
      <w:numFmt w:val="decimal"/>
      <w:lvlText w:val="%7."/>
      <w:lvlJc w:val="left"/>
      <w:pPr>
        <w:ind w:left="4358" w:hanging="420"/>
      </w:pPr>
    </w:lvl>
    <w:lvl w:ilvl="7" w:tentative="0">
      <w:start w:val="1"/>
      <w:numFmt w:val="lowerLetter"/>
      <w:lvlText w:val="%8)"/>
      <w:lvlJc w:val="left"/>
      <w:pPr>
        <w:ind w:left="4778" w:hanging="420"/>
      </w:pPr>
    </w:lvl>
    <w:lvl w:ilvl="8" w:tentative="0">
      <w:start w:val="1"/>
      <w:numFmt w:val="lowerRoman"/>
      <w:lvlText w:val="%9."/>
      <w:lvlJc w:val="right"/>
      <w:pPr>
        <w:ind w:left="5198" w:hanging="420"/>
      </w:pPr>
    </w:lvl>
  </w:abstractNum>
  <w:abstractNum w:abstractNumId="35">
    <w:nsid w:val="593100CC"/>
    <w:multiLevelType w:val="multilevel"/>
    <w:tmpl w:val="593100CC"/>
    <w:lvl w:ilvl="0" w:tentative="0">
      <w:start w:val="1"/>
      <w:numFmt w:val="decimal"/>
      <w:lvlText w:val="(%1)"/>
      <w:lvlJc w:val="left"/>
      <w:pPr>
        <w:tabs>
          <w:tab w:val="left" w:pos="1333"/>
        </w:tabs>
        <w:ind w:left="1333" w:hanging="375"/>
      </w:pPr>
      <w:rPr>
        <w:rFonts w:hint="eastAsia"/>
        <w:b w:val="0"/>
        <w:color w:val="auto"/>
      </w:rPr>
    </w:lvl>
    <w:lvl w:ilvl="1" w:tentative="0">
      <w:start w:val="1"/>
      <w:numFmt w:val="lowerLetter"/>
      <w:lvlText w:val="%2)"/>
      <w:lvlJc w:val="left"/>
      <w:pPr>
        <w:tabs>
          <w:tab w:val="left" w:pos="107"/>
        </w:tabs>
        <w:ind w:left="107" w:hanging="420"/>
      </w:pPr>
    </w:lvl>
    <w:lvl w:ilvl="2" w:tentative="0">
      <w:start w:val="1"/>
      <w:numFmt w:val="lowerRoman"/>
      <w:lvlText w:val="%3."/>
      <w:lvlJc w:val="right"/>
      <w:pPr>
        <w:tabs>
          <w:tab w:val="left" w:pos="527"/>
        </w:tabs>
        <w:ind w:left="527" w:hanging="420"/>
      </w:pPr>
    </w:lvl>
    <w:lvl w:ilvl="3" w:tentative="0">
      <w:start w:val="1"/>
      <w:numFmt w:val="decimal"/>
      <w:lvlText w:val="%4."/>
      <w:lvlJc w:val="left"/>
      <w:pPr>
        <w:tabs>
          <w:tab w:val="left" w:pos="947"/>
        </w:tabs>
        <w:ind w:left="947" w:hanging="420"/>
      </w:pPr>
    </w:lvl>
    <w:lvl w:ilvl="4" w:tentative="0">
      <w:start w:val="1"/>
      <w:numFmt w:val="lowerLetter"/>
      <w:lvlText w:val="%5)"/>
      <w:lvlJc w:val="left"/>
      <w:pPr>
        <w:tabs>
          <w:tab w:val="left" w:pos="1367"/>
        </w:tabs>
        <w:ind w:left="1367" w:hanging="420"/>
      </w:pPr>
    </w:lvl>
    <w:lvl w:ilvl="5" w:tentative="0">
      <w:start w:val="1"/>
      <w:numFmt w:val="lowerRoman"/>
      <w:lvlText w:val="%6."/>
      <w:lvlJc w:val="right"/>
      <w:pPr>
        <w:tabs>
          <w:tab w:val="left" w:pos="1787"/>
        </w:tabs>
        <w:ind w:left="1787" w:hanging="420"/>
      </w:pPr>
    </w:lvl>
    <w:lvl w:ilvl="6" w:tentative="0">
      <w:start w:val="1"/>
      <w:numFmt w:val="decimal"/>
      <w:lvlText w:val="%7."/>
      <w:lvlJc w:val="left"/>
      <w:pPr>
        <w:tabs>
          <w:tab w:val="left" w:pos="2207"/>
        </w:tabs>
        <w:ind w:left="2207" w:hanging="420"/>
      </w:pPr>
    </w:lvl>
    <w:lvl w:ilvl="7" w:tentative="0">
      <w:start w:val="1"/>
      <w:numFmt w:val="lowerLetter"/>
      <w:lvlText w:val="%8)"/>
      <w:lvlJc w:val="left"/>
      <w:pPr>
        <w:tabs>
          <w:tab w:val="left" w:pos="2627"/>
        </w:tabs>
        <w:ind w:left="2627" w:hanging="420"/>
      </w:pPr>
    </w:lvl>
    <w:lvl w:ilvl="8" w:tentative="0">
      <w:start w:val="1"/>
      <w:numFmt w:val="lowerRoman"/>
      <w:lvlText w:val="%9."/>
      <w:lvlJc w:val="right"/>
      <w:pPr>
        <w:tabs>
          <w:tab w:val="left" w:pos="3047"/>
        </w:tabs>
        <w:ind w:left="3047" w:hanging="420"/>
      </w:pPr>
    </w:lvl>
  </w:abstractNum>
  <w:abstractNum w:abstractNumId="36">
    <w:nsid w:val="5B296C47"/>
    <w:multiLevelType w:val="multilevel"/>
    <w:tmpl w:val="5B296C47"/>
    <w:lvl w:ilvl="0" w:tentative="0">
      <w:start w:val="1"/>
      <w:numFmt w:val="decimal"/>
      <w:lvlText w:val="(%1)"/>
      <w:lvlJc w:val="left"/>
      <w:pPr>
        <w:ind w:left="1838" w:hanging="420"/>
      </w:pPr>
      <w:rPr>
        <w:rFonts w:hint="eastAsia"/>
      </w:rPr>
    </w:lvl>
    <w:lvl w:ilvl="1" w:tentative="0">
      <w:start w:val="1"/>
      <w:numFmt w:val="lowerLetter"/>
      <w:lvlText w:val="%2)"/>
      <w:lvlJc w:val="left"/>
      <w:pPr>
        <w:ind w:left="2258" w:hanging="420"/>
      </w:pPr>
    </w:lvl>
    <w:lvl w:ilvl="2" w:tentative="0">
      <w:start w:val="1"/>
      <w:numFmt w:val="lowerRoman"/>
      <w:lvlText w:val="%3."/>
      <w:lvlJc w:val="right"/>
      <w:pPr>
        <w:ind w:left="2678" w:hanging="420"/>
      </w:pPr>
    </w:lvl>
    <w:lvl w:ilvl="3" w:tentative="0">
      <w:start w:val="1"/>
      <w:numFmt w:val="decimal"/>
      <w:lvlText w:val="%4."/>
      <w:lvlJc w:val="left"/>
      <w:pPr>
        <w:ind w:left="3098" w:hanging="420"/>
      </w:pPr>
    </w:lvl>
    <w:lvl w:ilvl="4" w:tentative="0">
      <w:start w:val="1"/>
      <w:numFmt w:val="lowerLetter"/>
      <w:lvlText w:val="%5)"/>
      <w:lvlJc w:val="left"/>
      <w:pPr>
        <w:ind w:left="3518" w:hanging="420"/>
      </w:pPr>
    </w:lvl>
    <w:lvl w:ilvl="5" w:tentative="0">
      <w:start w:val="1"/>
      <w:numFmt w:val="lowerRoman"/>
      <w:lvlText w:val="%6."/>
      <w:lvlJc w:val="right"/>
      <w:pPr>
        <w:ind w:left="3938" w:hanging="420"/>
      </w:pPr>
    </w:lvl>
    <w:lvl w:ilvl="6" w:tentative="0">
      <w:start w:val="1"/>
      <w:numFmt w:val="decimal"/>
      <w:lvlText w:val="%7."/>
      <w:lvlJc w:val="left"/>
      <w:pPr>
        <w:ind w:left="4358" w:hanging="420"/>
      </w:pPr>
    </w:lvl>
    <w:lvl w:ilvl="7" w:tentative="0">
      <w:start w:val="1"/>
      <w:numFmt w:val="lowerLetter"/>
      <w:lvlText w:val="%8)"/>
      <w:lvlJc w:val="left"/>
      <w:pPr>
        <w:ind w:left="4778" w:hanging="420"/>
      </w:pPr>
    </w:lvl>
    <w:lvl w:ilvl="8" w:tentative="0">
      <w:start w:val="1"/>
      <w:numFmt w:val="lowerRoman"/>
      <w:lvlText w:val="%9."/>
      <w:lvlJc w:val="right"/>
      <w:pPr>
        <w:ind w:left="5198" w:hanging="420"/>
      </w:pPr>
    </w:lvl>
  </w:abstractNum>
  <w:abstractNum w:abstractNumId="37">
    <w:nsid w:val="5E5E1895"/>
    <w:multiLevelType w:val="multilevel"/>
    <w:tmpl w:val="5E5E1895"/>
    <w:lvl w:ilvl="0" w:tentative="0">
      <w:start w:val="1"/>
      <w:numFmt w:val="decimal"/>
      <w:pStyle w:val="80"/>
      <w:lvlText w:val="%1"/>
      <w:lvlJc w:val="left"/>
      <w:pPr>
        <w:tabs>
          <w:tab w:val="left" w:pos="960"/>
        </w:tabs>
        <w:ind w:left="960" w:hanging="960"/>
      </w:pPr>
      <w:rPr>
        <w:rFonts w:hint="default"/>
        <w:b/>
      </w:rPr>
    </w:lvl>
    <w:lvl w:ilvl="1" w:tentative="0">
      <w:start w:val="1"/>
      <w:numFmt w:val="decimal"/>
      <w:lvlRestart w:val="0"/>
      <w:lvlText w:val="%1.%2"/>
      <w:lvlJc w:val="left"/>
      <w:pPr>
        <w:tabs>
          <w:tab w:val="left" w:pos="1232"/>
        </w:tabs>
        <w:ind w:left="1232" w:hanging="567"/>
      </w:pPr>
      <w:rPr>
        <w:rFonts w:hint="eastAsia"/>
        <w:b w:val="0"/>
        <w:i w:val="0"/>
        <w:caps w:val="0"/>
        <w:color w:val="auto"/>
        <w:u w:val="none"/>
      </w:rPr>
    </w:lvl>
    <w:lvl w:ilvl="2" w:tentative="0">
      <w:start w:val="1"/>
      <w:numFmt w:val="lowerLetter"/>
      <w:lvlRestart w:val="0"/>
      <w:pStyle w:val="91"/>
      <w:lvlText w:val="(%3)"/>
      <w:lvlJc w:val="left"/>
      <w:pPr>
        <w:tabs>
          <w:tab w:val="left" w:pos="1511"/>
        </w:tabs>
        <w:ind w:left="1511" w:hanging="420"/>
      </w:pPr>
      <w:rPr>
        <w:rFonts w:hint="default"/>
        <w:b w:val="0"/>
        <w:i w:val="0"/>
        <w:caps w:val="0"/>
        <w:color w:val="auto"/>
        <w:u w:val="none"/>
      </w:rPr>
    </w:lvl>
    <w:lvl w:ilvl="3" w:tentative="0">
      <w:start w:val="1"/>
      <w:numFmt w:val="lowerRoman"/>
      <w:pStyle w:val="92"/>
      <w:lvlText w:val="(%4)"/>
      <w:lvlJc w:val="left"/>
      <w:pPr>
        <w:tabs>
          <w:tab w:val="left" w:pos="2236"/>
        </w:tabs>
        <w:ind w:left="2236" w:hanging="720"/>
      </w:pPr>
      <w:rPr>
        <w:rFonts w:hint="default" w:ascii="Times New Roman" w:hAnsi="Times New Roman" w:cs="Times New Roman"/>
        <w:b w:val="0"/>
        <w:i w:val="0"/>
        <w:caps w:val="0"/>
        <w:color w:val="auto"/>
        <w:sz w:val="24"/>
        <w:szCs w:val="24"/>
        <w:u w:val="none"/>
      </w:rPr>
    </w:lvl>
    <w:lvl w:ilvl="4" w:tentative="0">
      <w:start w:val="1"/>
      <w:numFmt w:val="decimal"/>
      <w:lvlText w:val="%1.%2.%3.%4.%5"/>
      <w:lvlJc w:val="left"/>
      <w:pPr>
        <w:tabs>
          <w:tab w:val="left" w:pos="2791"/>
        </w:tabs>
        <w:ind w:left="2791" w:hanging="850"/>
      </w:pPr>
      <w:rPr>
        <w:rFonts w:hint="eastAsia"/>
        <w:b w:val="0"/>
        <w:i w:val="0"/>
        <w:caps w:val="0"/>
        <w:color w:val="auto"/>
        <w:u w:val="none"/>
      </w:rPr>
    </w:lvl>
    <w:lvl w:ilvl="5" w:tentative="0">
      <w:start w:val="1"/>
      <w:numFmt w:val="decimal"/>
      <w:lvlText w:val="%1.%2.%3.%4.%5.%6"/>
      <w:lvlJc w:val="left"/>
      <w:pPr>
        <w:tabs>
          <w:tab w:val="left" w:pos="3500"/>
        </w:tabs>
        <w:ind w:left="3500" w:hanging="1134"/>
      </w:pPr>
      <w:rPr>
        <w:rFonts w:hint="eastAsia"/>
        <w:b w:val="0"/>
        <w:i w:val="0"/>
        <w:caps w:val="0"/>
        <w:color w:val="auto"/>
        <w:u w:val="none"/>
      </w:rPr>
    </w:lvl>
    <w:lvl w:ilvl="6" w:tentative="0">
      <w:start w:val="1"/>
      <w:numFmt w:val="decimal"/>
      <w:lvlText w:val="%1.%2.%3.%4.%5.%6.%7"/>
      <w:lvlJc w:val="left"/>
      <w:pPr>
        <w:tabs>
          <w:tab w:val="left" w:pos="4067"/>
        </w:tabs>
        <w:ind w:left="4067" w:hanging="1276"/>
      </w:pPr>
      <w:rPr>
        <w:rFonts w:hint="eastAsia"/>
        <w:b w:val="0"/>
        <w:i w:val="0"/>
        <w:caps w:val="0"/>
        <w:color w:val="auto"/>
        <w:u w:val="none"/>
      </w:rPr>
    </w:lvl>
    <w:lvl w:ilvl="7" w:tentative="0">
      <w:start w:val="1"/>
      <w:numFmt w:val="decimal"/>
      <w:lvlText w:val="%1.%2.%3.%4.%5.%6.%7.%8"/>
      <w:lvlJc w:val="left"/>
      <w:pPr>
        <w:tabs>
          <w:tab w:val="left" w:pos="4634"/>
        </w:tabs>
        <w:ind w:left="4634" w:hanging="1418"/>
      </w:pPr>
      <w:rPr>
        <w:rFonts w:hint="eastAsia"/>
        <w:b w:val="0"/>
        <w:i w:val="0"/>
        <w:caps w:val="0"/>
        <w:color w:val="auto"/>
        <w:u w:val="none"/>
      </w:rPr>
    </w:lvl>
    <w:lvl w:ilvl="8" w:tentative="0">
      <w:start w:val="1"/>
      <w:numFmt w:val="decimal"/>
      <w:lvlText w:val="%1.%2.%3.%4.%5.%6.%7.%8.%9"/>
      <w:lvlJc w:val="left"/>
      <w:pPr>
        <w:tabs>
          <w:tab w:val="left" w:pos="5342"/>
        </w:tabs>
        <w:ind w:left="5342" w:hanging="1700"/>
      </w:pPr>
      <w:rPr>
        <w:rFonts w:hint="eastAsia"/>
        <w:b w:val="0"/>
        <w:i w:val="0"/>
        <w:caps w:val="0"/>
        <w:color w:val="auto"/>
        <w:u w:val="none"/>
      </w:rPr>
    </w:lvl>
  </w:abstractNum>
  <w:abstractNum w:abstractNumId="38">
    <w:nsid w:val="613752D6"/>
    <w:multiLevelType w:val="multilevel"/>
    <w:tmpl w:val="613752D6"/>
    <w:lvl w:ilvl="0" w:tentative="0">
      <w:start w:val="1"/>
      <w:numFmt w:val="decimal"/>
      <w:lvlText w:val="%1"/>
      <w:lvlJc w:val="left"/>
      <w:pPr>
        <w:tabs>
          <w:tab w:val="left" w:pos="840"/>
        </w:tabs>
        <w:ind w:left="840" w:hanging="420"/>
      </w:pPr>
      <w:rPr>
        <w:rFonts w:hint="eastAsia"/>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39">
    <w:nsid w:val="6169560A"/>
    <w:multiLevelType w:val="multilevel"/>
    <w:tmpl w:val="6169560A"/>
    <w:lvl w:ilvl="0" w:tentative="0">
      <w:start w:val="1"/>
      <w:numFmt w:val="decimal"/>
      <w:lvlText w:val="(%1)"/>
      <w:lvlJc w:val="left"/>
      <w:pPr>
        <w:ind w:left="1838" w:hanging="420"/>
      </w:pPr>
      <w:rPr>
        <w:rFonts w:hint="eastAsia"/>
      </w:rPr>
    </w:lvl>
    <w:lvl w:ilvl="1" w:tentative="0">
      <w:start w:val="1"/>
      <w:numFmt w:val="lowerLetter"/>
      <w:lvlText w:val="%2)"/>
      <w:lvlJc w:val="left"/>
      <w:pPr>
        <w:ind w:left="2258" w:hanging="420"/>
      </w:pPr>
    </w:lvl>
    <w:lvl w:ilvl="2" w:tentative="0">
      <w:start w:val="1"/>
      <w:numFmt w:val="lowerRoman"/>
      <w:lvlText w:val="%3."/>
      <w:lvlJc w:val="right"/>
      <w:pPr>
        <w:ind w:left="2678" w:hanging="420"/>
      </w:pPr>
    </w:lvl>
    <w:lvl w:ilvl="3" w:tentative="0">
      <w:start w:val="1"/>
      <w:numFmt w:val="decimal"/>
      <w:lvlText w:val="%4."/>
      <w:lvlJc w:val="left"/>
      <w:pPr>
        <w:ind w:left="3098" w:hanging="420"/>
      </w:pPr>
    </w:lvl>
    <w:lvl w:ilvl="4" w:tentative="0">
      <w:start w:val="1"/>
      <w:numFmt w:val="lowerLetter"/>
      <w:lvlText w:val="%5)"/>
      <w:lvlJc w:val="left"/>
      <w:pPr>
        <w:ind w:left="3518" w:hanging="420"/>
      </w:pPr>
    </w:lvl>
    <w:lvl w:ilvl="5" w:tentative="0">
      <w:start w:val="1"/>
      <w:numFmt w:val="lowerRoman"/>
      <w:lvlText w:val="%6."/>
      <w:lvlJc w:val="right"/>
      <w:pPr>
        <w:ind w:left="3938" w:hanging="420"/>
      </w:pPr>
    </w:lvl>
    <w:lvl w:ilvl="6" w:tentative="0">
      <w:start w:val="1"/>
      <w:numFmt w:val="decimal"/>
      <w:lvlText w:val="%7."/>
      <w:lvlJc w:val="left"/>
      <w:pPr>
        <w:ind w:left="4358" w:hanging="420"/>
      </w:pPr>
    </w:lvl>
    <w:lvl w:ilvl="7" w:tentative="0">
      <w:start w:val="1"/>
      <w:numFmt w:val="lowerLetter"/>
      <w:lvlText w:val="%8)"/>
      <w:lvlJc w:val="left"/>
      <w:pPr>
        <w:ind w:left="4778" w:hanging="420"/>
      </w:pPr>
    </w:lvl>
    <w:lvl w:ilvl="8" w:tentative="0">
      <w:start w:val="1"/>
      <w:numFmt w:val="lowerRoman"/>
      <w:lvlText w:val="%9."/>
      <w:lvlJc w:val="right"/>
      <w:pPr>
        <w:ind w:left="5198" w:hanging="420"/>
      </w:pPr>
    </w:lvl>
  </w:abstractNum>
  <w:abstractNum w:abstractNumId="40">
    <w:nsid w:val="61B243CF"/>
    <w:multiLevelType w:val="multilevel"/>
    <w:tmpl w:val="61B243CF"/>
    <w:lvl w:ilvl="0" w:tentative="0">
      <w:start w:val="1"/>
      <w:numFmt w:val="decimal"/>
      <w:lvlText w:val="(%1)"/>
      <w:lvlJc w:val="left"/>
      <w:pPr>
        <w:tabs>
          <w:tab w:val="left" w:pos="1995"/>
        </w:tabs>
        <w:ind w:left="1995" w:hanging="375"/>
      </w:pPr>
      <w:rPr>
        <w:rFonts w:hint="eastAsia"/>
        <w:b w:val="0"/>
        <w:color w:val="auto"/>
        <w:sz w:val="24"/>
        <w:szCs w:val="24"/>
      </w:rPr>
    </w:lvl>
    <w:lvl w:ilvl="1" w:tentative="0">
      <w:start w:val="1"/>
      <w:numFmt w:val="lowerLetter"/>
      <w:lvlText w:val="%2)"/>
      <w:lvlJc w:val="left"/>
      <w:pPr>
        <w:tabs>
          <w:tab w:val="left" w:pos="769"/>
        </w:tabs>
        <w:ind w:left="769" w:hanging="420"/>
      </w:pPr>
    </w:lvl>
    <w:lvl w:ilvl="2" w:tentative="0">
      <w:start w:val="1"/>
      <w:numFmt w:val="lowerRoman"/>
      <w:lvlText w:val="%3."/>
      <w:lvlJc w:val="right"/>
      <w:pPr>
        <w:tabs>
          <w:tab w:val="left" w:pos="1189"/>
        </w:tabs>
        <w:ind w:left="1189" w:hanging="420"/>
      </w:pPr>
    </w:lvl>
    <w:lvl w:ilvl="3" w:tentative="0">
      <w:start w:val="1"/>
      <w:numFmt w:val="decimal"/>
      <w:lvlText w:val="%4."/>
      <w:lvlJc w:val="left"/>
      <w:pPr>
        <w:tabs>
          <w:tab w:val="left" w:pos="1609"/>
        </w:tabs>
        <w:ind w:left="1609" w:hanging="420"/>
      </w:pPr>
    </w:lvl>
    <w:lvl w:ilvl="4" w:tentative="0">
      <w:start w:val="1"/>
      <w:numFmt w:val="lowerLetter"/>
      <w:lvlText w:val="%5)"/>
      <w:lvlJc w:val="left"/>
      <w:pPr>
        <w:tabs>
          <w:tab w:val="left" w:pos="2029"/>
        </w:tabs>
        <w:ind w:left="2029" w:hanging="420"/>
      </w:pPr>
    </w:lvl>
    <w:lvl w:ilvl="5" w:tentative="0">
      <w:start w:val="1"/>
      <w:numFmt w:val="lowerRoman"/>
      <w:lvlText w:val="%6."/>
      <w:lvlJc w:val="right"/>
      <w:pPr>
        <w:tabs>
          <w:tab w:val="left" w:pos="2449"/>
        </w:tabs>
        <w:ind w:left="2449" w:hanging="420"/>
      </w:pPr>
    </w:lvl>
    <w:lvl w:ilvl="6" w:tentative="0">
      <w:start w:val="1"/>
      <w:numFmt w:val="decimal"/>
      <w:lvlText w:val="%7."/>
      <w:lvlJc w:val="left"/>
      <w:pPr>
        <w:tabs>
          <w:tab w:val="left" w:pos="2869"/>
        </w:tabs>
        <w:ind w:left="2869" w:hanging="420"/>
      </w:pPr>
    </w:lvl>
    <w:lvl w:ilvl="7" w:tentative="0">
      <w:start w:val="1"/>
      <w:numFmt w:val="lowerLetter"/>
      <w:lvlText w:val="%8)"/>
      <w:lvlJc w:val="left"/>
      <w:pPr>
        <w:tabs>
          <w:tab w:val="left" w:pos="3289"/>
        </w:tabs>
        <w:ind w:left="3289" w:hanging="420"/>
      </w:pPr>
    </w:lvl>
    <w:lvl w:ilvl="8" w:tentative="0">
      <w:start w:val="1"/>
      <w:numFmt w:val="lowerRoman"/>
      <w:lvlText w:val="%9."/>
      <w:lvlJc w:val="right"/>
      <w:pPr>
        <w:tabs>
          <w:tab w:val="left" w:pos="3709"/>
        </w:tabs>
        <w:ind w:left="3709" w:hanging="420"/>
      </w:pPr>
    </w:lvl>
  </w:abstractNum>
  <w:abstractNum w:abstractNumId="41">
    <w:nsid w:val="644B6183"/>
    <w:multiLevelType w:val="multilevel"/>
    <w:tmpl w:val="644B6183"/>
    <w:lvl w:ilvl="0" w:tentative="0">
      <w:start w:val="1"/>
      <w:numFmt w:val="decimal"/>
      <w:lvlText w:val="(%1)"/>
      <w:lvlJc w:val="left"/>
      <w:pPr>
        <w:ind w:left="1838" w:hanging="420"/>
      </w:pPr>
      <w:rPr>
        <w:rFonts w:hint="eastAsia"/>
      </w:rPr>
    </w:lvl>
    <w:lvl w:ilvl="1" w:tentative="0">
      <w:start w:val="1"/>
      <w:numFmt w:val="lowerLetter"/>
      <w:lvlText w:val="%2)"/>
      <w:lvlJc w:val="left"/>
      <w:pPr>
        <w:ind w:left="2258" w:hanging="420"/>
      </w:pPr>
    </w:lvl>
    <w:lvl w:ilvl="2" w:tentative="0">
      <w:start w:val="1"/>
      <w:numFmt w:val="lowerRoman"/>
      <w:lvlText w:val="%3."/>
      <w:lvlJc w:val="right"/>
      <w:pPr>
        <w:ind w:left="2678" w:hanging="420"/>
      </w:pPr>
    </w:lvl>
    <w:lvl w:ilvl="3" w:tentative="0">
      <w:start w:val="1"/>
      <w:numFmt w:val="decimal"/>
      <w:lvlText w:val="%4."/>
      <w:lvlJc w:val="left"/>
      <w:pPr>
        <w:ind w:left="3098" w:hanging="420"/>
      </w:pPr>
    </w:lvl>
    <w:lvl w:ilvl="4" w:tentative="0">
      <w:start w:val="1"/>
      <w:numFmt w:val="lowerLetter"/>
      <w:lvlText w:val="%5)"/>
      <w:lvlJc w:val="left"/>
      <w:pPr>
        <w:ind w:left="3518" w:hanging="420"/>
      </w:pPr>
    </w:lvl>
    <w:lvl w:ilvl="5" w:tentative="0">
      <w:start w:val="1"/>
      <w:numFmt w:val="lowerRoman"/>
      <w:lvlText w:val="%6."/>
      <w:lvlJc w:val="right"/>
      <w:pPr>
        <w:ind w:left="3938" w:hanging="420"/>
      </w:pPr>
    </w:lvl>
    <w:lvl w:ilvl="6" w:tentative="0">
      <w:start w:val="1"/>
      <w:numFmt w:val="decimal"/>
      <w:lvlText w:val="%7."/>
      <w:lvlJc w:val="left"/>
      <w:pPr>
        <w:ind w:left="4358" w:hanging="420"/>
      </w:pPr>
    </w:lvl>
    <w:lvl w:ilvl="7" w:tentative="0">
      <w:start w:val="1"/>
      <w:numFmt w:val="lowerLetter"/>
      <w:lvlText w:val="%8)"/>
      <w:lvlJc w:val="left"/>
      <w:pPr>
        <w:ind w:left="4778" w:hanging="420"/>
      </w:pPr>
    </w:lvl>
    <w:lvl w:ilvl="8" w:tentative="0">
      <w:start w:val="1"/>
      <w:numFmt w:val="lowerRoman"/>
      <w:lvlText w:val="%9."/>
      <w:lvlJc w:val="right"/>
      <w:pPr>
        <w:ind w:left="5198" w:hanging="420"/>
      </w:pPr>
    </w:lvl>
  </w:abstractNum>
  <w:abstractNum w:abstractNumId="42">
    <w:nsid w:val="64F14175"/>
    <w:multiLevelType w:val="multilevel"/>
    <w:tmpl w:val="64F14175"/>
    <w:lvl w:ilvl="0" w:tentative="0">
      <w:start w:val="1"/>
      <w:numFmt w:val="decimal"/>
      <w:lvlText w:val="(%1)"/>
      <w:lvlJc w:val="left"/>
      <w:pPr>
        <w:ind w:left="1413" w:hanging="420"/>
      </w:pPr>
      <w:rPr>
        <w:rFonts w:hint="eastAsia"/>
      </w:rPr>
    </w:lvl>
    <w:lvl w:ilvl="1" w:tentative="0">
      <w:start w:val="1"/>
      <w:numFmt w:val="lowerLetter"/>
      <w:lvlText w:val="%2)"/>
      <w:lvlJc w:val="left"/>
      <w:pPr>
        <w:ind w:left="1833" w:hanging="420"/>
      </w:pPr>
    </w:lvl>
    <w:lvl w:ilvl="2" w:tentative="0">
      <w:start w:val="1"/>
      <w:numFmt w:val="lowerRoman"/>
      <w:lvlText w:val="%3."/>
      <w:lvlJc w:val="right"/>
      <w:pPr>
        <w:ind w:left="2253" w:hanging="420"/>
      </w:pPr>
    </w:lvl>
    <w:lvl w:ilvl="3" w:tentative="0">
      <w:start w:val="1"/>
      <w:numFmt w:val="decimal"/>
      <w:lvlText w:val="%4."/>
      <w:lvlJc w:val="left"/>
      <w:pPr>
        <w:ind w:left="2673" w:hanging="420"/>
      </w:pPr>
    </w:lvl>
    <w:lvl w:ilvl="4" w:tentative="0">
      <w:start w:val="1"/>
      <w:numFmt w:val="lowerLetter"/>
      <w:lvlText w:val="%5)"/>
      <w:lvlJc w:val="left"/>
      <w:pPr>
        <w:ind w:left="3093" w:hanging="420"/>
      </w:pPr>
    </w:lvl>
    <w:lvl w:ilvl="5" w:tentative="0">
      <w:start w:val="1"/>
      <w:numFmt w:val="lowerRoman"/>
      <w:lvlText w:val="%6."/>
      <w:lvlJc w:val="right"/>
      <w:pPr>
        <w:ind w:left="3513" w:hanging="420"/>
      </w:pPr>
    </w:lvl>
    <w:lvl w:ilvl="6" w:tentative="0">
      <w:start w:val="1"/>
      <w:numFmt w:val="decimal"/>
      <w:lvlText w:val="%7."/>
      <w:lvlJc w:val="left"/>
      <w:pPr>
        <w:ind w:left="3933" w:hanging="420"/>
      </w:pPr>
    </w:lvl>
    <w:lvl w:ilvl="7" w:tentative="0">
      <w:start w:val="1"/>
      <w:numFmt w:val="lowerLetter"/>
      <w:lvlText w:val="%8)"/>
      <w:lvlJc w:val="left"/>
      <w:pPr>
        <w:ind w:left="4353" w:hanging="420"/>
      </w:pPr>
    </w:lvl>
    <w:lvl w:ilvl="8" w:tentative="0">
      <w:start w:val="1"/>
      <w:numFmt w:val="lowerRoman"/>
      <w:lvlText w:val="%9."/>
      <w:lvlJc w:val="right"/>
      <w:pPr>
        <w:ind w:left="4773" w:hanging="420"/>
      </w:pPr>
    </w:lvl>
  </w:abstractNum>
  <w:abstractNum w:abstractNumId="43">
    <w:nsid w:val="69BA4FF3"/>
    <w:multiLevelType w:val="multilevel"/>
    <w:tmpl w:val="69BA4FF3"/>
    <w:lvl w:ilvl="0" w:tentative="0">
      <w:start w:val="1"/>
      <w:numFmt w:val="decimal"/>
      <w:lvlText w:val="(%1)"/>
      <w:lvlJc w:val="left"/>
      <w:pPr>
        <w:ind w:left="1838" w:hanging="420"/>
      </w:pPr>
      <w:rPr>
        <w:rFonts w:hint="eastAsia"/>
      </w:rPr>
    </w:lvl>
    <w:lvl w:ilvl="1" w:tentative="0">
      <w:start w:val="1"/>
      <w:numFmt w:val="lowerLetter"/>
      <w:lvlText w:val="%2)"/>
      <w:lvlJc w:val="left"/>
      <w:pPr>
        <w:ind w:left="2258" w:hanging="420"/>
      </w:pPr>
    </w:lvl>
    <w:lvl w:ilvl="2" w:tentative="0">
      <w:start w:val="1"/>
      <w:numFmt w:val="lowerRoman"/>
      <w:lvlText w:val="%3."/>
      <w:lvlJc w:val="right"/>
      <w:pPr>
        <w:ind w:left="2678" w:hanging="420"/>
      </w:pPr>
    </w:lvl>
    <w:lvl w:ilvl="3" w:tentative="0">
      <w:start w:val="1"/>
      <w:numFmt w:val="decimal"/>
      <w:lvlText w:val="%4."/>
      <w:lvlJc w:val="left"/>
      <w:pPr>
        <w:ind w:left="3098" w:hanging="420"/>
      </w:pPr>
    </w:lvl>
    <w:lvl w:ilvl="4" w:tentative="0">
      <w:start w:val="1"/>
      <w:numFmt w:val="lowerLetter"/>
      <w:lvlText w:val="%5)"/>
      <w:lvlJc w:val="left"/>
      <w:pPr>
        <w:ind w:left="3518" w:hanging="420"/>
      </w:pPr>
    </w:lvl>
    <w:lvl w:ilvl="5" w:tentative="0">
      <w:start w:val="1"/>
      <w:numFmt w:val="lowerRoman"/>
      <w:lvlText w:val="%6."/>
      <w:lvlJc w:val="right"/>
      <w:pPr>
        <w:ind w:left="3938" w:hanging="420"/>
      </w:pPr>
    </w:lvl>
    <w:lvl w:ilvl="6" w:tentative="0">
      <w:start w:val="1"/>
      <w:numFmt w:val="decimal"/>
      <w:lvlText w:val="%7."/>
      <w:lvlJc w:val="left"/>
      <w:pPr>
        <w:ind w:left="4358" w:hanging="420"/>
      </w:pPr>
    </w:lvl>
    <w:lvl w:ilvl="7" w:tentative="0">
      <w:start w:val="1"/>
      <w:numFmt w:val="lowerLetter"/>
      <w:lvlText w:val="%8)"/>
      <w:lvlJc w:val="left"/>
      <w:pPr>
        <w:ind w:left="4778" w:hanging="420"/>
      </w:pPr>
    </w:lvl>
    <w:lvl w:ilvl="8" w:tentative="0">
      <w:start w:val="1"/>
      <w:numFmt w:val="lowerRoman"/>
      <w:lvlText w:val="%9."/>
      <w:lvlJc w:val="right"/>
      <w:pPr>
        <w:ind w:left="5198" w:hanging="420"/>
      </w:pPr>
    </w:lvl>
  </w:abstractNum>
  <w:abstractNum w:abstractNumId="44">
    <w:nsid w:val="6CA83FBC"/>
    <w:multiLevelType w:val="multilevel"/>
    <w:tmpl w:val="6CA83FBC"/>
    <w:lvl w:ilvl="0" w:tentative="0">
      <w:start w:val="1"/>
      <w:numFmt w:val="decimal"/>
      <w:lvlText w:val="(%1)"/>
      <w:lvlJc w:val="left"/>
      <w:pPr>
        <w:ind w:left="1412" w:hanging="420"/>
      </w:pPr>
      <w:rPr>
        <w:rFonts w:hint="eastAsia"/>
      </w:r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45">
    <w:nsid w:val="6D7E4C95"/>
    <w:multiLevelType w:val="multilevel"/>
    <w:tmpl w:val="6D7E4C95"/>
    <w:lvl w:ilvl="0" w:tentative="0">
      <w:start w:val="1"/>
      <w:numFmt w:val="decimal"/>
      <w:lvlText w:val="(%1)"/>
      <w:lvlJc w:val="left"/>
      <w:pPr>
        <w:ind w:left="1838" w:hanging="420"/>
      </w:pPr>
      <w:rPr>
        <w:rFonts w:hint="eastAsia"/>
      </w:rPr>
    </w:lvl>
    <w:lvl w:ilvl="1" w:tentative="0">
      <w:start w:val="1"/>
      <w:numFmt w:val="lowerLetter"/>
      <w:lvlText w:val="%2)"/>
      <w:lvlJc w:val="left"/>
      <w:pPr>
        <w:ind w:left="2258" w:hanging="420"/>
      </w:pPr>
    </w:lvl>
    <w:lvl w:ilvl="2" w:tentative="0">
      <w:start w:val="1"/>
      <w:numFmt w:val="lowerRoman"/>
      <w:lvlText w:val="%3."/>
      <w:lvlJc w:val="right"/>
      <w:pPr>
        <w:ind w:left="2678" w:hanging="420"/>
      </w:pPr>
    </w:lvl>
    <w:lvl w:ilvl="3" w:tentative="0">
      <w:start w:val="1"/>
      <w:numFmt w:val="decimal"/>
      <w:lvlText w:val="%4."/>
      <w:lvlJc w:val="left"/>
      <w:pPr>
        <w:ind w:left="3098" w:hanging="420"/>
      </w:pPr>
    </w:lvl>
    <w:lvl w:ilvl="4" w:tentative="0">
      <w:start w:val="1"/>
      <w:numFmt w:val="lowerLetter"/>
      <w:lvlText w:val="%5)"/>
      <w:lvlJc w:val="left"/>
      <w:pPr>
        <w:ind w:left="3518" w:hanging="420"/>
      </w:pPr>
    </w:lvl>
    <w:lvl w:ilvl="5" w:tentative="0">
      <w:start w:val="1"/>
      <w:numFmt w:val="lowerRoman"/>
      <w:lvlText w:val="%6."/>
      <w:lvlJc w:val="right"/>
      <w:pPr>
        <w:ind w:left="3938" w:hanging="420"/>
      </w:pPr>
    </w:lvl>
    <w:lvl w:ilvl="6" w:tentative="0">
      <w:start w:val="1"/>
      <w:numFmt w:val="decimal"/>
      <w:lvlText w:val="%7."/>
      <w:lvlJc w:val="left"/>
      <w:pPr>
        <w:ind w:left="4358" w:hanging="420"/>
      </w:pPr>
    </w:lvl>
    <w:lvl w:ilvl="7" w:tentative="0">
      <w:start w:val="1"/>
      <w:numFmt w:val="lowerLetter"/>
      <w:lvlText w:val="%8)"/>
      <w:lvlJc w:val="left"/>
      <w:pPr>
        <w:ind w:left="4778" w:hanging="420"/>
      </w:pPr>
    </w:lvl>
    <w:lvl w:ilvl="8" w:tentative="0">
      <w:start w:val="1"/>
      <w:numFmt w:val="lowerRoman"/>
      <w:lvlText w:val="%9."/>
      <w:lvlJc w:val="right"/>
      <w:pPr>
        <w:ind w:left="5198" w:hanging="420"/>
      </w:pPr>
    </w:lvl>
  </w:abstractNum>
  <w:abstractNum w:abstractNumId="46">
    <w:nsid w:val="6DBA54F0"/>
    <w:multiLevelType w:val="multilevel"/>
    <w:tmpl w:val="6DBA54F0"/>
    <w:lvl w:ilvl="0" w:tentative="0">
      <w:start w:val="1"/>
      <w:numFmt w:val="decimal"/>
      <w:lvlText w:val="(%1)"/>
      <w:lvlJc w:val="left"/>
      <w:pPr>
        <w:tabs>
          <w:tab w:val="left" w:pos="1995"/>
        </w:tabs>
        <w:ind w:left="1995" w:hanging="375"/>
      </w:pPr>
      <w:rPr>
        <w:rFonts w:hint="eastAsia"/>
        <w:b w:val="0"/>
        <w:color w:val="auto"/>
        <w:sz w:val="24"/>
        <w:szCs w:val="24"/>
      </w:rPr>
    </w:lvl>
    <w:lvl w:ilvl="1" w:tentative="0">
      <w:start w:val="1"/>
      <w:numFmt w:val="lowerLetter"/>
      <w:lvlText w:val="%2)"/>
      <w:lvlJc w:val="left"/>
      <w:pPr>
        <w:tabs>
          <w:tab w:val="left" w:pos="769"/>
        </w:tabs>
        <w:ind w:left="769" w:hanging="420"/>
      </w:pPr>
    </w:lvl>
    <w:lvl w:ilvl="2" w:tentative="0">
      <w:start w:val="1"/>
      <w:numFmt w:val="lowerRoman"/>
      <w:lvlText w:val="%3."/>
      <w:lvlJc w:val="right"/>
      <w:pPr>
        <w:tabs>
          <w:tab w:val="left" w:pos="1189"/>
        </w:tabs>
        <w:ind w:left="1189" w:hanging="420"/>
      </w:pPr>
    </w:lvl>
    <w:lvl w:ilvl="3" w:tentative="0">
      <w:start w:val="1"/>
      <w:numFmt w:val="decimal"/>
      <w:lvlText w:val="%4."/>
      <w:lvlJc w:val="left"/>
      <w:pPr>
        <w:tabs>
          <w:tab w:val="left" w:pos="1609"/>
        </w:tabs>
        <w:ind w:left="1609" w:hanging="420"/>
      </w:pPr>
    </w:lvl>
    <w:lvl w:ilvl="4" w:tentative="0">
      <w:start w:val="1"/>
      <w:numFmt w:val="lowerLetter"/>
      <w:lvlText w:val="%5)"/>
      <w:lvlJc w:val="left"/>
      <w:pPr>
        <w:tabs>
          <w:tab w:val="left" w:pos="2029"/>
        </w:tabs>
        <w:ind w:left="2029" w:hanging="420"/>
      </w:pPr>
    </w:lvl>
    <w:lvl w:ilvl="5" w:tentative="0">
      <w:start w:val="1"/>
      <w:numFmt w:val="lowerRoman"/>
      <w:lvlText w:val="%6."/>
      <w:lvlJc w:val="right"/>
      <w:pPr>
        <w:tabs>
          <w:tab w:val="left" w:pos="2449"/>
        </w:tabs>
        <w:ind w:left="2449" w:hanging="420"/>
      </w:pPr>
    </w:lvl>
    <w:lvl w:ilvl="6" w:tentative="0">
      <w:start w:val="1"/>
      <w:numFmt w:val="decimal"/>
      <w:lvlText w:val="%7."/>
      <w:lvlJc w:val="left"/>
      <w:pPr>
        <w:tabs>
          <w:tab w:val="left" w:pos="2869"/>
        </w:tabs>
        <w:ind w:left="2869" w:hanging="420"/>
      </w:pPr>
    </w:lvl>
    <w:lvl w:ilvl="7" w:tentative="0">
      <w:start w:val="1"/>
      <w:numFmt w:val="lowerLetter"/>
      <w:lvlText w:val="%8)"/>
      <w:lvlJc w:val="left"/>
      <w:pPr>
        <w:tabs>
          <w:tab w:val="left" w:pos="3289"/>
        </w:tabs>
        <w:ind w:left="3289" w:hanging="420"/>
      </w:pPr>
    </w:lvl>
    <w:lvl w:ilvl="8" w:tentative="0">
      <w:start w:val="1"/>
      <w:numFmt w:val="lowerRoman"/>
      <w:lvlText w:val="%9."/>
      <w:lvlJc w:val="right"/>
      <w:pPr>
        <w:tabs>
          <w:tab w:val="left" w:pos="3709"/>
        </w:tabs>
        <w:ind w:left="3709" w:hanging="420"/>
      </w:pPr>
    </w:lvl>
  </w:abstractNum>
  <w:abstractNum w:abstractNumId="47">
    <w:nsid w:val="73862134"/>
    <w:multiLevelType w:val="multilevel"/>
    <w:tmpl w:val="73862134"/>
    <w:lvl w:ilvl="0" w:tentative="0">
      <w:start w:val="1"/>
      <w:numFmt w:val="decimal"/>
      <w:lvlText w:val="(%1)"/>
      <w:lvlJc w:val="left"/>
      <w:pPr>
        <w:ind w:left="1838" w:hanging="420"/>
      </w:pPr>
      <w:rPr>
        <w:rFonts w:hint="eastAsia"/>
      </w:rPr>
    </w:lvl>
    <w:lvl w:ilvl="1" w:tentative="0">
      <w:start w:val="1"/>
      <w:numFmt w:val="lowerLetter"/>
      <w:lvlText w:val="%2)"/>
      <w:lvlJc w:val="left"/>
      <w:pPr>
        <w:ind w:left="2258" w:hanging="420"/>
      </w:pPr>
    </w:lvl>
    <w:lvl w:ilvl="2" w:tentative="0">
      <w:start w:val="1"/>
      <w:numFmt w:val="lowerRoman"/>
      <w:lvlText w:val="%3."/>
      <w:lvlJc w:val="right"/>
      <w:pPr>
        <w:ind w:left="2678" w:hanging="420"/>
      </w:pPr>
    </w:lvl>
    <w:lvl w:ilvl="3" w:tentative="0">
      <w:start w:val="1"/>
      <w:numFmt w:val="decimal"/>
      <w:lvlText w:val="%4."/>
      <w:lvlJc w:val="left"/>
      <w:pPr>
        <w:ind w:left="3098" w:hanging="420"/>
      </w:pPr>
    </w:lvl>
    <w:lvl w:ilvl="4" w:tentative="0">
      <w:start w:val="1"/>
      <w:numFmt w:val="lowerLetter"/>
      <w:lvlText w:val="%5)"/>
      <w:lvlJc w:val="left"/>
      <w:pPr>
        <w:ind w:left="3518" w:hanging="420"/>
      </w:pPr>
    </w:lvl>
    <w:lvl w:ilvl="5" w:tentative="0">
      <w:start w:val="1"/>
      <w:numFmt w:val="lowerRoman"/>
      <w:lvlText w:val="%6."/>
      <w:lvlJc w:val="right"/>
      <w:pPr>
        <w:ind w:left="3938" w:hanging="420"/>
      </w:pPr>
    </w:lvl>
    <w:lvl w:ilvl="6" w:tentative="0">
      <w:start w:val="1"/>
      <w:numFmt w:val="decimal"/>
      <w:lvlText w:val="%7."/>
      <w:lvlJc w:val="left"/>
      <w:pPr>
        <w:ind w:left="4358" w:hanging="420"/>
      </w:pPr>
    </w:lvl>
    <w:lvl w:ilvl="7" w:tentative="0">
      <w:start w:val="1"/>
      <w:numFmt w:val="lowerLetter"/>
      <w:lvlText w:val="%8)"/>
      <w:lvlJc w:val="left"/>
      <w:pPr>
        <w:ind w:left="4778" w:hanging="420"/>
      </w:pPr>
    </w:lvl>
    <w:lvl w:ilvl="8" w:tentative="0">
      <w:start w:val="1"/>
      <w:numFmt w:val="lowerRoman"/>
      <w:lvlText w:val="%9."/>
      <w:lvlJc w:val="right"/>
      <w:pPr>
        <w:ind w:left="5198" w:hanging="420"/>
      </w:pPr>
    </w:lvl>
  </w:abstractNum>
  <w:abstractNum w:abstractNumId="48">
    <w:nsid w:val="74831069"/>
    <w:multiLevelType w:val="multilevel"/>
    <w:tmpl w:val="74831069"/>
    <w:lvl w:ilvl="0" w:tentative="0">
      <w:start w:val="1"/>
      <w:numFmt w:val="decimal"/>
      <w:lvlText w:val="(%1)"/>
      <w:lvlJc w:val="left"/>
      <w:pPr>
        <w:tabs>
          <w:tab w:val="left" w:pos="1995"/>
        </w:tabs>
        <w:ind w:left="1995" w:hanging="375"/>
      </w:pPr>
      <w:rPr>
        <w:rFonts w:hint="eastAsia"/>
        <w:b w:val="0"/>
        <w:color w:val="auto"/>
        <w:sz w:val="24"/>
        <w:szCs w:val="24"/>
      </w:rPr>
    </w:lvl>
    <w:lvl w:ilvl="1" w:tentative="0">
      <w:start w:val="1"/>
      <w:numFmt w:val="lowerLetter"/>
      <w:lvlText w:val="%2)"/>
      <w:lvlJc w:val="left"/>
      <w:pPr>
        <w:tabs>
          <w:tab w:val="left" w:pos="769"/>
        </w:tabs>
        <w:ind w:left="769" w:hanging="420"/>
      </w:pPr>
    </w:lvl>
    <w:lvl w:ilvl="2" w:tentative="0">
      <w:start w:val="1"/>
      <w:numFmt w:val="lowerRoman"/>
      <w:lvlText w:val="%3."/>
      <w:lvlJc w:val="right"/>
      <w:pPr>
        <w:tabs>
          <w:tab w:val="left" w:pos="1189"/>
        </w:tabs>
        <w:ind w:left="1189" w:hanging="420"/>
      </w:pPr>
    </w:lvl>
    <w:lvl w:ilvl="3" w:tentative="0">
      <w:start w:val="1"/>
      <w:numFmt w:val="decimal"/>
      <w:lvlText w:val="%4."/>
      <w:lvlJc w:val="left"/>
      <w:pPr>
        <w:tabs>
          <w:tab w:val="left" w:pos="1609"/>
        </w:tabs>
        <w:ind w:left="1609" w:hanging="420"/>
      </w:pPr>
    </w:lvl>
    <w:lvl w:ilvl="4" w:tentative="0">
      <w:start w:val="1"/>
      <w:numFmt w:val="lowerLetter"/>
      <w:lvlText w:val="%5)"/>
      <w:lvlJc w:val="left"/>
      <w:pPr>
        <w:tabs>
          <w:tab w:val="left" w:pos="2029"/>
        </w:tabs>
        <w:ind w:left="2029" w:hanging="420"/>
      </w:pPr>
    </w:lvl>
    <w:lvl w:ilvl="5" w:tentative="0">
      <w:start w:val="1"/>
      <w:numFmt w:val="lowerRoman"/>
      <w:lvlText w:val="%6."/>
      <w:lvlJc w:val="right"/>
      <w:pPr>
        <w:tabs>
          <w:tab w:val="left" w:pos="2449"/>
        </w:tabs>
        <w:ind w:left="2449" w:hanging="420"/>
      </w:pPr>
    </w:lvl>
    <w:lvl w:ilvl="6" w:tentative="0">
      <w:start w:val="1"/>
      <w:numFmt w:val="decimal"/>
      <w:lvlText w:val="%7."/>
      <w:lvlJc w:val="left"/>
      <w:pPr>
        <w:tabs>
          <w:tab w:val="left" w:pos="2869"/>
        </w:tabs>
        <w:ind w:left="2869" w:hanging="420"/>
      </w:pPr>
    </w:lvl>
    <w:lvl w:ilvl="7" w:tentative="0">
      <w:start w:val="1"/>
      <w:numFmt w:val="lowerLetter"/>
      <w:lvlText w:val="%8)"/>
      <w:lvlJc w:val="left"/>
      <w:pPr>
        <w:tabs>
          <w:tab w:val="left" w:pos="3289"/>
        </w:tabs>
        <w:ind w:left="3289" w:hanging="420"/>
      </w:pPr>
    </w:lvl>
    <w:lvl w:ilvl="8" w:tentative="0">
      <w:start w:val="1"/>
      <w:numFmt w:val="lowerRoman"/>
      <w:lvlText w:val="%9."/>
      <w:lvlJc w:val="right"/>
      <w:pPr>
        <w:tabs>
          <w:tab w:val="left" w:pos="3709"/>
        </w:tabs>
        <w:ind w:left="3709" w:hanging="420"/>
      </w:pPr>
    </w:lvl>
  </w:abstractNum>
  <w:abstractNum w:abstractNumId="49">
    <w:nsid w:val="75FC0B2E"/>
    <w:multiLevelType w:val="multilevel"/>
    <w:tmpl w:val="75FC0B2E"/>
    <w:lvl w:ilvl="0" w:tentative="0">
      <w:start w:val="1"/>
      <w:numFmt w:val="decimal"/>
      <w:lvlText w:val="(%1)"/>
      <w:lvlJc w:val="left"/>
      <w:pPr>
        <w:ind w:left="1412" w:hanging="420"/>
      </w:pPr>
      <w:rPr>
        <w:rFonts w:hint="default"/>
        <w:b w:val="0"/>
        <w:color w:val="auto"/>
      </w:r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50">
    <w:nsid w:val="7B6F15B0"/>
    <w:multiLevelType w:val="multilevel"/>
    <w:tmpl w:val="7B6F15B0"/>
    <w:lvl w:ilvl="0" w:tentative="0">
      <w:start w:val="1"/>
      <w:numFmt w:val="decimal"/>
      <w:pStyle w:val="67"/>
      <w:suff w:val="nothing"/>
      <w:lvlText w:val="Schedule %1 "/>
      <w:lvlJc w:val="left"/>
      <w:pPr>
        <w:ind w:left="0" w:firstLine="0"/>
      </w:pPr>
      <w:rPr>
        <w:rFonts w:ascii="Times New Roman" w:hAnsi="Times New Roman"/>
        <w:b/>
        <w:i w:val="0"/>
        <w:caps/>
        <w:smallCaps w:val="0"/>
        <w:color w:val="auto"/>
        <w:sz w:val="24"/>
        <w:u w:val="none"/>
      </w:rPr>
    </w:lvl>
    <w:lvl w:ilvl="1" w:tentative="0">
      <w:start w:val="1"/>
      <w:numFmt w:val="upperLetter"/>
      <w:pStyle w:val="68"/>
      <w:suff w:val="space"/>
      <w:lvlText w:val="Part %2 "/>
      <w:lvlJc w:val="left"/>
      <w:pPr>
        <w:tabs>
          <w:tab w:val="left" w:pos="0"/>
        </w:tabs>
        <w:ind w:left="0" w:firstLine="0"/>
      </w:pPr>
      <w:rPr>
        <w:rFonts w:ascii="Times New Roman" w:hAnsi="Times New Roman"/>
        <w:b/>
        <w:i w:val="0"/>
        <w:caps w:val="0"/>
        <w:color w:val="auto"/>
        <w:sz w:val="24"/>
        <w:u w:val="none"/>
      </w:rPr>
    </w:lvl>
    <w:lvl w:ilvl="2" w:tentative="0">
      <w:start w:val="1"/>
      <w:numFmt w:val="decimal"/>
      <w:pStyle w:val="69"/>
      <w:lvlText w:val="%3."/>
      <w:lvlJc w:val="left"/>
      <w:pPr>
        <w:tabs>
          <w:tab w:val="left" w:pos="720"/>
        </w:tabs>
        <w:ind w:left="0" w:firstLine="0"/>
      </w:pPr>
      <w:rPr>
        <w:rFonts w:ascii="Times New Roman" w:hAnsi="Times New Roman"/>
        <w:b/>
        <w:i w:val="0"/>
        <w:caps w:val="0"/>
        <w:color w:val="auto"/>
        <w:sz w:val="24"/>
        <w:u w:val="none"/>
      </w:rPr>
    </w:lvl>
    <w:lvl w:ilvl="3" w:tentative="0">
      <w:start w:val="1"/>
      <w:numFmt w:val="decimal"/>
      <w:pStyle w:val="70"/>
      <w:lvlText w:val="%4."/>
      <w:lvlJc w:val="left"/>
      <w:pPr>
        <w:tabs>
          <w:tab w:val="left" w:pos="720"/>
        </w:tabs>
        <w:ind w:left="0" w:firstLine="0"/>
      </w:pPr>
      <w:rPr>
        <w:rFonts w:ascii="Times New Roman" w:hAnsi="Times New Roman"/>
        <w:b w:val="0"/>
        <w:i w:val="0"/>
        <w:caps w:val="0"/>
        <w:color w:val="auto"/>
        <w:sz w:val="24"/>
        <w:u w:val="none"/>
      </w:rPr>
    </w:lvl>
    <w:lvl w:ilvl="4" w:tentative="0">
      <w:start w:val="1"/>
      <w:numFmt w:val="decimal"/>
      <w:pStyle w:val="71"/>
      <w:lvlText w:val="%3.%5"/>
      <w:lvlJc w:val="left"/>
      <w:pPr>
        <w:tabs>
          <w:tab w:val="left" w:pos="720"/>
        </w:tabs>
        <w:ind w:left="0" w:firstLine="0"/>
      </w:pPr>
      <w:rPr>
        <w:rFonts w:ascii="Times New Roman" w:hAnsi="Times New Roman"/>
        <w:b w:val="0"/>
        <w:i w:val="0"/>
        <w:caps w:val="0"/>
        <w:color w:val="auto"/>
        <w:sz w:val="24"/>
        <w:u w:val="none"/>
      </w:rPr>
    </w:lvl>
    <w:lvl w:ilvl="5" w:tentative="0">
      <w:start w:val="1"/>
      <w:numFmt w:val="lowerLetter"/>
      <w:pStyle w:val="72"/>
      <w:lvlText w:val="(%6)"/>
      <w:lvlJc w:val="left"/>
      <w:pPr>
        <w:tabs>
          <w:tab w:val="left" w:pos="720"/>
        </w:tabs>
        <w:ind w:left="720" w:hanging="720"/>
      </w:pPr>
      <w:rPr>
        <w:rFonts w:ascii="Times New Roman" w:hAnsi="Times New Roman"/>
        <w:b w:val="0"/>
        <w:i w:val="0"/>
        <w:caps w:val="0"/>
        <w:color w:val="auto"/>
        <w:sz w:val="24"/>
        <w:u w:val="none"/>
      </w:rPr>
    </w:lvl>
    <w:lvl w:ilvl="6" w:tentative="0">
      <w:start w:val="1"/>
      <w:numFmt w:val="lowerRoman"/>
      <w:pStyle w:val="73"/>
      <w:lvlText w:val="(%7)"/>
      <w:lvlJc w:val="right"/>
      <w:pPr>
        <w:tabs>
          <w:tab w:val="left" w:pos="1440"/>
        </w:tabs>
        <w:ind w:left="1440" w:hanging="216"/>
      </w:pPr>
      <w:rPr>
        <w:rFonts w:ascii="Times New Roman" w:hAnsi="Times New Roman"/>
        <w:b w:val="0"/>
        <w:i w:val="0"/>
        <w:caps w:val="0"/>
        <w:color w:val="auto"/>
        <w:sz w:val="24"/>
        <w:u w:val="none"/>
      </w:rPr>
    </w:lvl>
    <w:lvl w:ilvl="7" w:tentative="0">
      <w:start w:val="1"/>
      <w:numFmt w:val="upperLetter"/>
      <w:pStyle w:val="74"/>
      <w:lvlText w:val="(%8)"/>
      <w:lvlJc w:val="left"/>
      <w:pPr>
        <w:tabs>
          <w:tab w:val="left" w:pos="2160"/>
        </w:tabs>
        <w:ind w:left="2160" w:hanging="720"/>
      </w:pPr>
      <w:rPr>
        <w:rFonts w:ascii="Times New Roman" w:hAnsi="Times New Roman"/>
        <w:b w:val="0"/>
        <w:i w:val="0"/>
        <w:caps w:val="0"/>
        <w:color w:val="auto"/>
        <w:sz w:val="24"/>
        <w:u w:val="none"/>
      </w:rPr>
    </w:lvl>
    <w:lvl w:ilvl="8" w:tentative="0">
      <w:start w:val="1"/>
      <w:numFmt w:val="upperRoman"/>
      <w:pStyle w:val="75"/>
      <w:lvlText w:val="(%9)"/>
      <w:lvlJc w:val="right"/>
      <w:pPr>
        <w:tabs>
          <w:tab w:val="left" w:pos="2880"/>
        </w:tabs>
        <w:ind w:left="2880" w:hanging="216"/>
      </w:pPr>
      <w:rPr>
        <w:rFonts w:ascii="Times New Roman" w:hAnsi="Times New Roman"/>
        <w:b w:val="0"/>
        <w:i w:val="0"/>
        <w:caps w:val="0"/>
        <w:color w:val="auto"/>
        <w:sz w:val="24"/>
        <w:u w:val="none"/>
      </w:rPr>
    </w:lvl>
  </w:abstractNum>
  <w:abstractNum w:abstractNumId="51">
    <w:nsid w:val="7E986B64"/>
    <w:multiLevelType w:val="multilevel"/>
    <w:tmpl w:val="7E986B64"/>
    <w:lvl w:ilvl="0" w:tentative="0">
      <w:start w:val="1"/>
      <w:numFmt w:val="decimal"/>
      <w:lvlText w:val="(%1)"/>
      <w:lvlJc w:val="left"/>
      <w:pPr>
        <w:ind w:left="1838" w:hanging="420"/>
      </w:pPr>
      <w:rPr>
        <w:rFonts w:hint="eastAsia"/>
        <w:b w:val="0"/>
        <w:bCs/>
        <w:i w:val="0"/>
        <w:iCs/>
        <w:color w:val="auto"/>
      </w:rPr>
    </w:lvl>
    <w:lvl w:ilvl="1" w:tentative="0">
      <w:start w:val="1"/>
      <w:numFmt w:val="lowerLetter"/>
      <w:lvlText w:val="%2)"/>
      <w:lvlJc w:val="left"/>
      <w:pPr>
        <w:ind w:left="2258" w:hanging="420"/>
      </w:pPr>
    </w:lvl>
    <w:lvl w:ilvl="2" w:tentative="0">
      <w:start w:val="1"/>
      <w:numFmt w:val="lowerRoman"/>
      <w:lvlText w:val="%3."/>
      <w:lvlJc w:val="right"/>
      <w:pPr>
        <w:ind w:left="2678" w:hanging="420"/>
      </w:pPr>
    </w:lvl>
    <w:lvl w:ilvl="3" w:tentative="0">
      <w:start w:val="1"/>
      <w:numFmt w:val="decimal"/>
      <w:lvlText w:val="%4."/>
      <w:lvlJc w:val="left"/>
      <w:pPr>
        <w:ind w:left="3098" w:hanging="420"/>
      </w:pPr>
    </w:lvl>
    <w:lvl w:ilvl="4" w:tentative="0">
      <w:start w:val="1"/>
      <w:numFmt w:val="lowerLetter"/>
      <w:lvlText w:val="%5)"/>
      <w:lvlJc w:val="left"/>
      <w:pPr>
        <w:ind w:left="3518" w:hanging="420"/>
      </w:pPr>
    </w:lvl>
    <w:lvl w:ilvl="5" w:tentative="0">
      <w:start w:val="1"/>
      <w:numFmt w:val="lowerRoman"/>
      <w:lvlText w:val="%6."/>
      <w:lvlJc w:val="right"/>
      <w:pPr>
        <w:ind w:left="3938" w:hanging="420"/>
      </w:pPr>
    </w:lvl>
    <w:lvl w:ilvl="6" w:tentative="0">
      <w:start w:val="1"/>
      <w:numFmt w:val="decimal"/>
      <w:lvlText w:val="%7."/>
      <w:lvlJc w:val="left"/>
      <w:pPr>
        <w:ind w:left="4358" w:hanging="420"/>
      </w:pPr>
    </w:lvl>
    <w:lvl w:ilvl="7" w:tentative="0">
      <w:start w:val="1"/>
      <w:numFmt w:val="lowerLetter"/>
      <w:lvlText w:val="%8)"/>
      <w:lvlJc w:val="left"/>
      <w:pPr>
        <w:ind w:left="4778" w:hanging="420"/>
      </w:pPr>
    </w:lvl>
    <w:lvl w:ilvl="8" w:tentative="0">
      <w:start w:val="1"/>
      <w:numFmt w:val="lowerRoman"/>
      <w:lvlText w:val="%9."/>
      <w:lvlJc w:val="right"/>
      <w:pPr>
        <w:ind w:left="5198" w:hanging="420"/>
      </w:pPr>
    </w:lvl>
  </w:abstractNum>
  <w:num w:numId="1">
    <w:abstractNumId w:val="0"/>
  </w:num>
  <w:num w:numId="2">
    <w:abstractNumId w:val="50"/>
  </w:num>
  <w:num w:numId="3">
    <w:abstractNumId w:val="37"/>
  </w:num>
  <w:num w:numId="4">
    <w:abstractNumId w:val="24"/>
  </w:num>
  <w:num w:numId="5">
    <w:abstractNumId w:val="22"/>
  </w:num>
  <w:num w:numId="6">
    <w:abstractNumId w:val="15"/>
  </w:num>
  <w:num w:numId="7">
    <w:abstractNumId w:val="41"/>
  </w:num>
  <w:num w:numId="8">
    <w:abstractNumId w:val="3"/>
  </w:num>
  <w:num w:numId="9">
    <w:abstractNumId w:val="17"/>
  </w:num>
  <w:num w:numId="10">
    <w:abstractNumId w:val="19"/>
  </w:num>
  <w:num w:numId="11">
    <w:abstractNumId w:val="6"/>
  </w:num>
  <w:num w:numId="12">
    <w:abstractNumId w:val="11"/>
  </w:num>
  <w:num w:numId="13">
    <w:abstractNumId w:val="31"/>
  </w:num>
  <w:num w:numId="14">
    <w:abstractNumId w:val="42"/>
  </w:num>
  <w:num w:numId="15">
    <w:abstractNumId w:val="35"/>
  </w:num>
  <w:num w:numId="16">
    <w:abstractNumId w:val="16"/>
  </w:num>
  <w:num w:numId="17">
    <w:abstractNumId w:val="46"/>
  </w:num>
  <w:num w:numId="18">
    <w:abstractNumId w:val="26"/>
  </w:num>
  <w:num w:numId="19">
    <w:abstractNumId w:val="48"/>
  </w:num>
  <w:num w:numId="20">
    <w:abstractNumId w:val="4"/>
  </w:num>
  <w:num w:numId="21">
    <w:abstractNumId w:val="20"/>
  </w:num>
  <w:num w:numId="22">
    <w:abstractNumId w:val="40"/>
  </w:num>
  <w:num w:numId="23">
    <w:abstractNumId w:val="45"/>
  </w:num>
  <w:num w:numId="24">
    <w:abstractNumId w:val="43"/>
  </w:num>
  <w:num w:numId="25">
    <w:abstractNumId w:val="51"/>
  </w:num>
  <w:num w:numId="26">
    <w:abstractNumId w:val="27"/>
  </w:num>
  <w:num w:numId="27">
    <w:abstractNumId w:val="1"/>
  </w:num>
  <w:num w:numId="28">
    <w:abstractNumId w:val="8"/>
  </w:num>
  <w:num w:numId="29">
    <w:abstractNumId w:val="23"/>
  </w:num>
  <w:num w:numId="30">
    <w:abstractNumId w:val="39"/>
  </w:num>
  <w:num w:numId="31">
    <w:abstractNumId w:val="10"/>
  </w:num>
  <w:num w:numId="32">
    <w:abstractNumId w:val="34"/>
  </w:num>
  <w:num w:numId="33">
    <w:abstractNumId w:val="21"/>
  </w:num>
  <w:num w:numId="34">
    <w:abstractNumId w:val="30"/>
  </w:num>
  <w:num w:numId="35">
    <w:abstractNumId w:val="36"/>
  </w:num>
  <w:num w:numId="36">
    <w:abstractNumId w:val="47"/>
  </w:num>
  <w:num w:numId="37">
    <w:abstractNumId w:val="49"/>
  </w:num>
  <w:num w:numId="38">
    <w:abstractNumId w:val="14"/>
  </w:num>
  <w:num w:numId="39">
    <w:abstractNumId w:val="32"/>
  </w:num>
  <w:num w:numId="40">
    <w:abstractNumId w:val="44"/>
  </w:num>
  <w:num w:numId="41">
    <w:abstractNumId w:val="29"/>
  </w:num>
  <w:num w:numId="42">
    <w:abstractNumId w:val="9"/>
  </w:num>
  <w:num w:numId="43">
    <w:abstractNumId w:val="2"/>
  </w:num>
  <w:num w:numId="44">
    <w:abstractNumId w:val="13"/>
  </w:num>
  <w:num w:numId="45">
    <w:abstractNumId w:val="18"/>
  </w:num>
  <w:num w:numId="46">
    <w:abstractNumId w:val="7"/>
  </w:num>
  <w:num w:numId="47">
    <w:abstractNumId w:val="12"/>
  </w:num>
  <w:num w:numId="48">
    <w:abstractNumId w:val="33"/>
  </w:num>
  <w:num w:numId="49">
    <w:abstractNumId w:val="28"/>
  </w:num>
  <w:num w:numId="50">
    <w:abstractNumId w:val="38"/>
  </w:num>
  <w:num w:numId="51">
    <w:abstractNumId w:val="5"/>
  </w:num>
  <w:num w:numId="5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5D5"/>
    <w:rsid w:val="00000392"/>
    <w:rsid w:val="00000523"/>
    <w:rsid w:val="000006B1"/>
    <w:rsid w:val="00000B66"/>
    <w:rsid w:val="00001641"/>
    <w:rsid w:val="00001751"/>
    <w:rsid w:val="000017E1"/>
    <w:rsid w:val="0000193E"/>
    <w:rsid w:val="00001C00"/>
    <w:rsid w:val="00001F85"/>
    <w:rsid w:val="00002265"/>
    <w:rsid w:val="000023A2"/>
    <w:rsid w:val="00002D94"/>
    <w:rsid w:val="0000305A"/>
    <w:rsid w:val="000035B6"/>
    <w:rsid w:val="00003602"/>
    <w:rsid w:val="0000385A"/>
    <w:rsid w:val="00003D4B"/>
    <w:rsid w:val="00003E9E"/>
    <w:rsid w:val="0000402F"/>
    <w:rsid w:val="0000422B"/>
    <w:rsid w:val="000043B1"/>
    <w:rsid w:val="0000465D"/>
    <w:rsid w:val="00004A63"/>
    <w:rsid w:val="00004DF5"/>
    <w:rsid w:val="00005186"/>
    <w:rsid w:val="00005394"/>
    <w:rsid w:val="000055F6"/>
    <w:rsid w:val="000058E9"/>
    <w:rsid w:val="00005DBC"/>
    <w:rsid w:val="000062BE"/>
    <w:rsid w:val="00006493"/>
    <w:rsid w:val="0000657C"/>
    <w:rsid w:val="00006D1C"/>
    <w:rsid w:val="00006DA5"/>
    <w:rsid w:val="00006DA7"/>
    <w:rsid w:val="00006E37"/>
    <w:rsid w:val="000073AA"/>
    <w:rsid w:val="0000749A"/>
    <w:rsid w:val="00007650"/>
    <w:rsid w:val="00007740"/>
    <w:rsid w:val="000079CB"/>
    <w:rsid w:val="00007AF6"/>
    <w:rsid w:val="00007B7E"/>
    <w:rsid w:val="00007C35"/>
    <w:rsid w:val="00007C3B"/>
    <w:rsid w:val="00007DE5"/>
    <w:rsid w:val="00007FE2"/>
    <w:rsid w:val="00010340"/>
    <w:rsid w:val="0001082D"/>
    <w:rsid w:val="00010B04"/>
    <w:rsid w:val="00010B5F"/>
    <w:rsid w:val="00010DAA"/>
    <w:rsid w:val="00010EF8"/>
    <w:rsid w:val="00010FCB"/>
    <w:rsid w:val="000110D7"/>
    <w:rsid w:val="0001133C"/>
    <w:rsid w:val="000114CF"/>
    <w:rsid w:val="00011675"/>
    <w:rsid w:val="000118AE"/>
    <w:rsid w:val="00011A85"/>
    <w:rsid w:val="00011CFF"/>
    <w:rsid w:val="00011D23"/>
    <w:rsid w:val="00011F45"/>
    <w:rsid w:val="00012679"/>
    <w:rsid w:val="00012950"/>
    <w:rsid w:val="000129E6"/>
    <w:rsid w:val="00012F9D"/>
    <w:rsid w:val="00013124"/>
    <w:rsid w:val="0001386C"/>
    <w:rsid w:val="0001394D"/>
    <w:rsid w:val="00013A68"/>
    <w:rsid w:val="00013C7F"/>
    <w:rsid w:val="00013C9D"/>
    <w:rsid w:val="00013D68"/>
    <w:rsid w:val="00013DA2"/>
    <w:rsid w:val="00013DF0"/>
    <w:rsid w:val="000141D6"/>
    <w:rsid w:val="00014347"/>
    <w:rsid w:val="00014374"/>
    <w:rsid w:val="000143E6"/>
    <w:rsid w:val="00014457"/>
    <w:rsid w:val="000145A8"/>
    <w:rsid w:val="000148E1"/>
    <w:rsid w:val="00014A6D"/>
    <w:rsid w:val="00014AE2"/>
    <w:rsid w:val="00014B44"/>
    <w:rsid w:val="00014BCE"/>
    <w:rsid w:val="00014E2E"/>
    <w:rsid w:val="00014F76"/>
    <w:rsid w:val="000152FC"/>
    <w:rsid w:val="00015602"/>
    <w:rsid w:val="00015B80"/>
    <w:rsid w:val="00016018"/>
    <w:rsid w:val="000161DE"/>
    <w:rsid w:val="0001620A"/>
    <w:rsid w:val="00016333"/>
    <w:rsid w:val="00016512"/>
    <w:rsid w:val="00016550"/>
    <w:rsid w:val="00016596"/>
    <w:rsid w:val="0001672E"/>
    <w:rsid w:val="00016895"/>
    <w:rsid w:val="00016EA8"/>
    <w:rsid w:val="00017246"/>
    <w:rsid w:val="000174D1"/>
    <w:rsid w:val="000176D6"/>
    <w:rsid w:val="0001777D"/>
    <w:rsid w:val="00017798"/>
    <w:rsid w:val="00017F61"/>
    <w:rsid w:val="000201E9"/>
    <w:rsid w:val="00020850"/>
    <w:rsid w:val="00020851"/>
    <w:rsid w:val="0002087D"/>
    <w:rsid w:val="00020D2D"/>
    <w:rsid w:val="00020F2D"/>
    <w:rsid w:val="00020F7F"/>
    <w:rsid w:val="00021554"/>
    <w:rsid w:val="00021B19"/>
    <w:rsid w:val="00021DEB"/>
    <w:rsid w:val="00021DFE"/>
    <w:rsid w:val="00022449"/>
    <w:rsid w:val="00022543"/>
    <w:rsid w:val="000227EA"/>
    <w:rsid w:val="00022832"/>
    <w:rsid w:val="00022C84"/>
    <w:rsid w:val="00022D0E"/>
    <w:rsid w:val="00022F31"/>
    <w:rsid w:val="00022FE8"/>
    <w:rsid w:val="000232B6"/>
    <w:rsid w:val="00023316"/>
    <w:rsid w:val="00023884"/>
    <w:rsid w:val="00023AE2"/>
    <w:rsid w:val="00023BF9"/>
    <w:rsid w:val="0002413B"/>
    <w:rsid w:val="000242DD"/>
    <w:rsid w:val="000244A2"/>
    <w:rsid w:val="000244B9"/>
    <w:rsid w:val="00024603"/>
    <w:rsid w:val="00024748"/>
    <w:rsid w:val="00024850"/>
    <w:rsid w:val="00024967"/>
    <w:rsid w:val="000249CE"/>
    <w:rsid w:val="00024EF3"/>
    <w:rsid w:val="00024FAB"/>
    <w:rsid w:val="00025036"/>
    <w:rsid w:val="0002518F"/>
    <w:rsid w:val="0002531E"/>
    <w:rsid w:val="00025B2D"/>
    <w:rsid w:val="00025B4D"/>
    <w:rsid w:val="00025BD3"/>
    <w:rsid w:val="00025EBA"/>
    <w:rsid w:val="000262E9"/>
    <w:rsid w:val="000268FB"/>
    <w:rsid w:val="0002699F"/>
    <w:rsid w:val="00026C05"/>
    <w:rsid w:val="00026CEC"/>
    <w:rsid w:val="00026DB0"/>
    <w:rsid w:val="0002705F"/>
    <w:rsid w:val="00027175"/>
    <w:rsid w:val="0002764A"/>
    <w:rsid w:val="00027683"/>
    <w:rsid w:val="00027981"/>
    <w:rsid w:val="00027C17"/>
    <w:rsid w:val="00027CE9"/>
    <w:rsid w:val="00027D3D"/>
    <w:rsid w:val="00027DE1"/>
    <w:rsid w:val="00027F6B"/>
    <w:rsid w:val="00030483"/>
    <w:rsid w:val="00030503"/>
    <w:rsid w:val="000306A8"/>
    <w:rsid w:val="00030756"/>
    <w:rsid w:val="00030B2E"/>
    <w:rsid w:val="00031449"/>
    <w:rsid w:val="00031926"/>
    <w:rsid w:val="000323EA"/>
    <w:rsid w:val="00032826"/>
    <w:rsid w:val="00032AA8"/>
    <w:rsid w:val="00032E3B"/>
    <w:rsid w:val="00032ED2"/>
    <w:rsid w:val="00033015"/>
    <w:rsid w:val="0003317E"/>
    <w:rsid w:val="000332DC"/>
    <w:rsid w:val="00033438"/>
    <w:rsid w:val="000334F2"/>
    <w:rsid w:val="0003371E"/>
    <w:rsid w:val="000337D4"/>
    <w:rsid w:val="00033B13"/>
    <w:rsid w:val="00033F15"/>
    <w:rsid w:val="00034173"/>
    <w:rsid w:val="0003417A"/>
    <w:rsid w:val="000341CB"/>
    <w:rsid w:val="000341DF"/>
    <w:rsid w:val="000342A5"/>
    <w:rsid w:val="00034512"/>
    <w:rsid w:val="00034850"/>
    <w:rsid w:val="00034FC7"/>
    <w:rsid w:val="000350A3"/>
    <w:rsid w:val="0003535F"/>
    <w:rsid w:val="00035B7E"/>
    <w:rsid w:val="00035D90"/>
    <w:rsid w:val="00035E40"/>
    <w:rsid w:val="0003605D"/>
    <w:rsid w:val="0003609F"/>
    <w:rsid w:val="00036550"/>
    <w:rsid w:val="000367D5"/>
    <w:rsid w:val="000367DF"/>
    <w:rsid w:val="00036924"/>
    <w:rsid w:val="00036B31"/>
    <w:rsid w:val="000372D7"/>
    <w:rsid w:val="000374C0"/>
    <w:rsid w:val="000377B6"/>
    <w:rsid w:val="00037802"/>
    <w:rsid w:val="00037D1A"/>
    <w:rsid w:val="00037F3B"/>
    <w:rsid w:val="00037F3F"/>
    <w:rsid w:val="000402B2"/>
    <w:rsid w:val="000406B2"/>
    <w:rsid w:val="000411CF"/>
    <w:rsid w:val="000413CE"/>
    <w:rsid w:val="000417D1"/>
    <w:rsid w:val="0004189E"/>
    <w:rsid w:val="00041A71"/>
    <w:rsid w:val="00041AD4"/>
    <w:rsid w:val="00041B01"/>
    <w:rsid w:val="00041E82"/>
    <w:rsid w:val="00041EC9"/>
    <w:rsid w:val="00041F14"/>
    <w:rsid w:val="0004210C"/>
    <w:rsid w:val="00042670"/>
    <w:rsid w:val="0004270C"/>
    <w:rsid w:val="00042C85"/>
    <w:rsid w:val="00042D63"/>
    <w:rsid w:val="0004301C"/>
    <w:rsid w:val="0004301D"/>
    <w:rsid w:val="0004302C"/>
    <w:rsid w:val="000430E2"/>
    <w:rsid w:val="00043160"/>
    <w:rsid w:val="0004396E"/>
    <w:rsid w:val="00043A09"/>
    <w:rsid w:val="00043D70"/>
    <w:rsid w:val="0004433E"/>
    <w:rsid w:val="000444DE"/>
    <w:rsid w:val="00044580"/>
    <w:rsid w:val="0004487B"/>
    <w:rsid w:val="00044925"/>
    <w:rsid w:val="00044ACA"/>
    <w:rsid w:val="00044B78"/>
    <w:rsid w:val="00044BDD"/>
    <w:rsid w:val="00045409"/>
    <w:rsid w:val="00045D3D"/>
    <w:rsid w:val="00045F51"/>
    <w:rsid w:val="00045F82"/>
    <w:rsid w:val="00046503"/>
    <w:rsid w:val="000465C0"/>
    <w:rsid w:val="00046870"/>
    <w:rsid w:val="00046A3C"/>
    <w:rsid w:val="00046BDD"/>
    <w:rsid w:val="00046D62"/>
    <w:rsid w:val="00046F5F"/>
    <w:rsid w:val="00047062"/>
    <w:rsid w:val="000473EC"/>
    <w:rsid w:val="00047557"/>
    <w:rsid w:val="00047629"/>
    <w:rsid w:val="00047677"/>
    <w:rsid w:val="00047884"/>
    <w:rsid w:val="00047F34"/>
    <w:rsid w:val="000501E7"/>
    <w:rsid w:val="00050229"/>
    <w:rsid w:val="00050499"/>
    <w:rsid w:val="00050533"/>
    <w:rsid w:val="00050559"/>
    <w:rsid w:val="00050637"/>
    <w:rsid w:val="000507C8"/>
    <w:rsid w:val="00050E2A"/>
    <w:rsid w:val="000510E1"/>
    <w:rsid w:val="000513AD"/>
    <w:rsid w:val="00051641"/>
    <w:rsid w:val="00051675"/>
    <w:rsid w:val="00051840"/>
    <w:rsid w:val="00051CEA"/>
    <w:rsid w:val="00051DE7"/>
    <w:rsid w:val="00051E0D"/>
    <w:rsid w:val="0005220A"/>
    <w:rsid w:val="0005222B"/>
    <w:rsid w:val="000529F4"/>
    <w:rsid w:val="00052D3D"/>
    <w:rsid w:val="00053082"/>
    <w:rsid w:val="00053336"/>
    <w:rsid w:val="0005347F"/>
    <w:rsid w:val="0005354E"/>
    <w:rsid w:val="00053726"/>
    <w:rsid w:val="0005394B"/>
    <w:rsid w:val="00053D29"/>
    <w:rsid w:val="00053F54"/>
    <w:rsid w:val="0005430F"/>
    <w:rsid w:val="000547E7"/>
    <w:rsid w:val="000548E8"/>
    <w:rsid w:val="00054F5F"/>
    <w:rsid w:val="000550D6"/>
    <w:rsid w:val="00055389"/>
    <w:rsid w:val="0005539A"/>
    <w:rsid w:val="000554F0"/>
    <w:rsid w:val="000556FA"/>
    <w:rsid w:val="00055853"/>
    <w:rsid w:val="00055C50"/>
    <w:rsid w:val="00055EF4"/>
    <w:rsid w:val="00055FE1"/>
    <w:rsid w:val="000561A1"/>
    <w:rsid w:val="00056234"/>
    <w:rsid w:val="00056545"/>
    <w:rsid w:val="00056904"/>
    <w:rsid w:val="0005693D"/>
    <w:rsid w:val="00056949"/>
    <w:rsid w:val="00056FA3"/>
    <w:rsid w:val="000571E9"/>
    <w:rsid w:val="000572CB"/>
    <w:rsid w:val="00057622"/>
    <w:rsid w:val="000577FF"/>
    <w:rsid w:val="00057979"/>
    <w:rsid w:val="000579EA"/>
    <w:rsid w:val="00057B7B"/>
    <w:rsid w:val="00057C5A"/>
    <w:rsid w:val="00060094"/>
    <w:rsid w:val="000601EC"/>
    <w:rsid w:val="00060318"/>
    <w:rsid w:val="00060320"/>
    <w:rsid w:val="000607D2"/>
    <w:rsid w:val="00060A21"/>
    <w:rsid w:val="00060B54"/>
    <w:rsid w:val="00060C20"/>
    <w:rsid w:val="00060C26"/>
    <w:rsid w:val="00060D55"/>
    <w:rsid w:val="00060F20"/>
    <w:rsid w:val="000610CA"/>
    <w:rsid w:val="00061230"/>
    <w:rsid w:val="000612D9"/>
    <w:rsid w:val="000614A5"/>
    <w:rsid w:val="0006167F"/>
    <w:rsid w:val="000616B9"/>
    <w:rsid w:val="00061A77"/>
    <w:rsid w:val="00061F21"/>
    <w:rsid w:val="000620FC"/>
    <w:rsid w:val="000623E9"/>
    <w:rsid w:val="0006268A"/>
    <w:rsid w:val="000626AB"/>
    <w:rsid w:val="00062F13"/>
    <w:rsid w:val="00063142"/>
    <w:rsid w:val="000633CF"/>
    <w:rsid w:val="0006344D"/>
    <w:rsid w:val="00063517"/>
    <w:rsid w:val="00063616"/>
    <w:rsid w:val="000636A1"/>
    <w:rsid w:val="00063935"/>
    <w:rsid w:val="00063A84"/>
    <w:rsid w:val="000643D9"/>
    <w:rsid w:val="000643E6"/>
    <w:rsid w:val="0006453D"/>
    <w:rsid w:val="00064923"/>
    <w:rsid w:val="00064A3D"/>
    <w:rsid w:val="00064EC5"/>
    <w:rsid w:val="00064F7B"/>
    <w:rsid w:val="00064FD5"/>
    <w:rsid w:val="000651ED"/>
    <w:rsid w:val="000652CB"/>
    <w:rsid w:val="000653F0"/>
    <w:rsid w:val="00065731"/>
    <w:rsid w:val="0006604E"/>
    <w:rsid w:val="000669AA"/>
    <w:rsid w:val="00066EF5"/>
    <w:rsid w:val="000675AA"/>
    <w:rsid w:val="0006775E"/>
    <w:rsid w:val="000679AC"/>
    <w:rsid w:val="00067A6A"/>
    <w:rsid w:val="00067A75"/>
    <w:rsid w:val="00067B4B"/>
    <w:rsid w:val="00067B5F"/>
    <w:rsid w:val="00067D07"/>
    <w:rsid w:val="00067E46"/>
    <w:rsid w:val="00070038"/>
    <w:rsid w:val="00070195"/>
    <w:rsid w:val="0007019B"/>
    <w:rsid w:val="00070671"/>
    <w:rsid w:val="000706D0"/>
    <w:rsid w:val="00070919"/>
    <w:rsid w:val="00070A40"/>
    <w:rsid w:val="00070AE4"/>
    <w:rsid w:val="00070D5A"/>
    <w:rsid w:val="000714B4"/>
    <w:rsid w:val="000718BF"/>
    <w:rsid w:val="00071A00"/>
    <w:rsid w:val="00071A4B"/>
    <w:rsid w:val="00071F2D"/>
    <w:rsid w:val="00071F44"/>
    <w:rsid w:val="000725AC"/>
    <w:rsid w:val="000726AA"/>
    <w:rsid w:val="000729F2"/>
    <w:rsid w:val="00072B3D"/>
    <w:rsid w:val="00072B86"/>
    <w:rsid w:val="00072BD6"/>
    <w:rsid w:val="00072E2C"/>
    <w:rsid w:val="00072F98"/>
    <w:rsid w:val="00073078"/>
    <w:rsid w:val="00073426"/>
    <w:rsid w:val="000737CC"/>
    <w:rsid w:val="00073A40"/>
    <w:rsid w:val="00073A92"/>
    <w:rsid w:val="00073BB3"/>
    <w:rsid w:val="00073D93"/>
    <w:rsid w:val="00073F16"/>
    <w:rsid w:val="00073F40"/>
    <w:rsid w:val="0007405C"/>
    <w:rsid w:val="000741E9"/>
    <w:rsid w:val="0007464A"/>
    <w:rsid w:val="000748EC"/>
    <w:rsid w:val="00074CBB"/>
    <w:rsid w:val="0007527F"/>
    <w:rsid w:val="000755B8"/>
    <w:rsid w:val="00075827"/>
    <w:rsid w:val="00075A13"/>
    <w:rsid w:val="00075D11"/>
    <w:rsid w:val="00075FC4"/>
    <w:rsid w:val="000764BD"/>
    <w:rsid w:val="00076773"/>
    <w:rsid w:val="000769F3"/>
    <w:rsid w:val="00076EDB"/>
    <w:rsid w:val="00076F88"/>
    <w:rsid w:val="000770C0"/>
    <w:rsid w:val="000771DE"/>
    <w:rsid w:val="000776A6"/>
    <w:rsid w:val="0007779C"/>
    <w:rsid w:val="00077B1B"/>
    <w:rsid w:val="00077B4A"/>
    <w:rsid w:val="00077F2F"/>
    <w:rsid w:val="00080133"/>
    <w:rsid w:val="0008022E"/>
    <w:rsid w:val="0008026A"/>
    <w:rsid w:val="000803F1"/>
    <w:rsid w:val="000808E7"/>
    <w:rsid w:val="00080A23"/>
    <w:rsid w:val="00080BC6"/>
    <w:rsid w:val="00081070"/>
    <w:rsid w:val="00081196"/>
    <w:rsid w:val="000812CD"/>
    <w:rsid w:val="00081430"/>
    <w:rsid w:val="000818EE"/>
    <w:rsid w:val="00081AF6"/>
    <w:rsid w:val="000821F8"/>
    <w:rsid w:val="000823AF"/>
    <w:rsid w:val="0008254F"/>
    <w:rsid w:val="000825A4"/>
    <w:rsid w:val="0008270B"/>
    <w:rsid w:val="0008285B"/>
    <w:rsid w:val="00082AAA"/>
    <w:rsid w:val="00082C4B"/>
    <w:rsid w:val="00082E95"/>
    <w:rsid w:val="000833BA"/>
    <w:rsid w:val="000838AF"/>
    <w:rsid w:val="000839AD"/>
    <w:rsid w:val="00083AD2"/>
    <w:rsid w:val="00083B24"/>
    <w:rsid w:val="00083E2A"/>
    <w:rsid w:val="00083E9B"/>
    <w:rsid w:val="000842C6"/>
    <w:rsid w:val="00084600"/>
    <w:rsid w:val="0008477A"/>
    <w:rsid w:val="00084A56"/>
    <w:rsid w:val="00084CC3"/>
    <w:rsid w:val="0008506F"/>
    <w:rsid w:val="000855EB"/>
    <w:rsid w:val="000856B8"/>
    <w:rsid w:val="000858C6"/>
    <w:rsid w:val="000859EC"/>
    <w:rsid w:val="00085AC7"/>
    <w:rsid w:val="00085C40"/>
    <w:rsid w:val="00086086"/>
    <w:rsid w:val="000860E1"/>
    <w:rsid w:val="000863A0"/>
    <w:rsid w:val="0008666D"/>
    <w:rsid w:val="00086709"/>
    <w:rsid w:val="0008682A"/>
    <w:rsid w:val="00086A75"/>
    <w:rsid w:val="00086EEA"/>
    <w:rsid w:val="000872F2"/>
    <w:rsid w:val="00087390"/>
    <w:rsid w:val="00090006"/>
    <w:rsid w:val="00090025"/>
    <w:rsid w:val="00090178"/>
    <w:rsid w:val="000903F9"/>
    <w:rsid w:val="0009091C"/>
    <w:rsid w:val="00090FB7"/>
    <w:rsid w:val="00091795"/>
    <w:rsid w:val="00091822"/>
    <w:rsid w:val="00091A52"/>
    <w:rsid w:val="00091D64"/>
    <w:rsid w:val="00092212"/>
    <w:rsid w:val="00092483"/>
    <w:rsid w:val="0009275B"/>
    <w:rsid w:val="0009279C"/>
    <w:rsid w:val="0009295B"/>
    <w:rsid w:val="00092B88"/>
    <w:rsid w:val="00092E5D"/>
    <w:rsid w:val="00093193"/>
    <w:rsid w:val="0009329E"/>
    <w:rsid w:val="00093A25"/>
    <w:rsid w:val="00093B48"/>
    <w:rsid w:val="00093BD9"/>
    <w:rsid w:val="00093EC3"/>
    <w:rsid w:val="00094018"/>
    <w:rsid w:val="00094066"/>
    <w:rsid w:val="00094351"/>
    <w:rsid w:val="00094430"/>
    <w:rsid w:val="00094482"/>
    <w:rsid w:val="00094863"/>
    <w:rsid w:val="00094B50"/>
    <w:rsid w:val="00094BC3"/>
    <w:rsid w:val="00094E1F"/>
    <w:rsid w:val="00095514"/>
    <w:rsid w:val="000955FE"/>
    <w:rsid w:val="00095968"/>
    <w:rsid w:val="00095DBB"/>
    <w:rsid w:val="0009602E"/>
    <w:rsid w:val="000960A1"/>
    <w:rsid w:val="00096598"/>
    <w:rsid w:val="000969B6"/>
    <w:rsid w:val="00096B28"/>
    <w:rsid w:val="00096D09"/>
    <w:rsid w:val="0009705E"/>
    <w:rsid w:val="00097153"/>
    <w:rsid w:val="00097565"/>
    <w:rsid w:val="0009764F"/>
    <w:rsid w:val="00097755"/>
    <w:rsid w:val="000977D0"/>
    <w:rsid w:val="000978A4"/>
    <w:rsid w:val="00097919"/>
    <w:rsid w:val="00097C52"/>
    <w:rsid w:val="000A0196"/>
    <w:rsid w:val="000A02A7"/>
    <w:rsid w:val="000A0340"/>
    <w:rsid w:val="000A04FA"/>
    <w:rsid w:val="000A06B0"/>
    <w:rsid w:val="000A0873"/>
    <w:rsid w:val="000A0A61"/>
    <w:rsid w:val="000A14AC"/>
    <w:rsid w:val="000A1BBF"/>
    <w:rsid w:val="000A1CA6"/>
    <w:rsid w:val="000A1FD4"/>
    <w:rsid w:val="000A2016"/>
    <w:rsid w:val="000A2092"/>
    <w:rsid w:val="000A20AA"/>
    <w:rsid w:val="000A20C1"/>
    <w:rsid w:val="000A223E"/>
    <w:rsid w:val="000A246E"/>
    <w:rsid w:val="000A2B1C"/>
    <w:rsid w:val="000A2B73"/>
    <w:rsid w:val="000A31C3"/>
    <w:rsid w:val="000A3339"/>
    <w:rsid w:val="000A3C78"/>
    <w:rsid w:val="000A3CCF"/>
    <w:rsid w:val="000A3F01"/>
    <w:rsid w:val="000A42FE"/>
    <w:rsid w:val="000A4395"/>
    <w:rsid w:val="000A43CE"/>
    <w:rsid w:val="000A459A"/>
    <w:rsid w:val="000A47BA"/>
    <w:rsid w:val="000A47CC"/>
    <w:rsid w:val="000A496C"/>
    <w:rsid w:val="000A4C0F"/>
    <w:rsid w:val="000A4C85"/>
    <w:rsid w:val="000A4C8B"/>
    <w:rsid w:val="000A527E"/>
    <w:rsid w:val="000A550F"/>
    <w:rsid w:val="000A57D8"/>
    <w:rsid w:val="000A5F8D"/>
    <w:rsid w:val="000A6323"/>
    <w:rsid w:val="000A66D4"/>
    <w:rsid w:val="000A6A6D"/>
    <w:rsid w:val="000A6CAB"/>
    <w:rsid w:val="000A6EE2"/>
    <w:rsid w:val="000A7188"/>
    <w:rsid w:val="000A7488"/>
    <w:rsid w:val="000A76B9"/>
    <w:rsid w:val="000A76CD"/>
    <w:rsid w:val="000A770B"/>
    <w:rsid w:val="000A7A6D"/>
    <w:rsid w:val="000A7B4B"/>
    <w:rsid w:val="000A7C0C"/>
    <w:rsid w:val="000B006D"/>
    <w:rsid w:val="000B0179"/>
    <w:rsid w:val="000B02C9"/>
    <w:rsid w:val="000B06C0"/>
    <w:rsid w:val="000B06D9"/>
    <w:rsid w:val="000B093B"/>
    <w:rsid w:val="000B0AB0"/>
    <w:rsid w:val="000B0BA0"/>
    <w:rsid w:val="000B0E9B"/>
    <w:rsid w:val="000B0F67"/>
    <w:rsid w:val="000B0FFA"/>
    <w:rsid w:val="000B1157"/>
    <w:rsid w:val="000B1172"/>
    <w:rsid w:val="000B17A1"/>
    <w:rsid w:val="000B1A7C"/>
    <w:rsid w:val="000B1C67"/>
    <w:rsid w:val="000B1CD0"/>
    <w:rsid w:val="000B1EA1"/>
    <w:rsid w:val="000B1EB4"/>
    <w:rsid w:val="000B201C"/>
    <w:rsid w:val="000B201E"/>
    <w:rsid w:val="000B221D"/>
    <w:rsid w:val="000B22FA"/>
    <w:rsid w:val="000B2387"/>
    <w:rsid w:val="000B246C"/>
    <w:rsid w:val="000B2628"/>
    <w:rsid w:val="000B26CE"/>
    <w:rsid w:val="000B2766"/>
    <w:rsid w:val="000B28C0"/>
    <w:rsid w:val="000B2C2A"/>
    <w:rsid w:val="000B2C41"/>
    <w:rsid w:val="000B2D7C"/>
    <w:rsid w:val="000B2EB8"/>
    <w:rsid w:val="000B32B0"/>
    <w:rsid w:val="000B33A1"/>
    <w:rsid w:val="000B3697"/>
    <w:rsid w:val="000B3B90"/>
    <w:rsid w:val="000B3D14"/>
    <w:rsid w:val="000B4206"/>
    <w:rsid w:val="000B422A"/>
    <w:rsid w:val="000B458C"/>
    <w:rsid w:val="000B4D0A"/>
    <w:rsid w:val="000B4EAC"/>
    <w:rsid w:val="000B4EFC"/>
    <w:rsid w:val="000B5436"/>
    <w:rsid w:val="000B54C8"/>
    <w:rsid w:val="000B54EF"/>
    <w:rsid w:val="000B56C9"/>
    <w:rsid w:val="000B5766"/>
    <w:rsid w:val="000B5792"/>
    <w:rsid w:val="000B5A86"/>
    <w:rsid w:val="000B5EFB"/>
    <w:rsid w:val="000B6024"/>
    <w:rsid w:val="000B61B3"/>
    <w:rsid w:val="000B635E"/>
    <w:rsid w:val="000B66AB"/>
    <w:rsid w:val="000B6ABB"/>
    <w:rsid w:val="000B6AF1"/>
    <w:rsid w:val="000B71AA"/>
    <w:rsid w:val="000B72BB"/>
    <w:rsid w:val="000B7723"/>
    <w:rsid w:val="000C0000"/>
    <w:rsid w:val="000C025D"/>
    <w:rsid w:val="000C0781"/>
    <w:rsid w:val="000C0A39"/>
    <w:rsid w:val="000C0AD1"/>
    <w:rsid w:val="000C0F96"/>
    <w:rsid w:val="000C1208"/>
    <w:rsid w:val="000C1530"/>
    <w:rsid w:val="000C1875"/>
    <w:rsid w:val="000C1967"/>
    <w:rsid w:val="000C1F86"/>
    <w:rsid w:val="000C201C"/>
    <w:rsid w:val="000C2021"/>
    <w:rsid w:val="000C258B"/>
    <w:rsid w:val="000C286C"/>
    <w:rsid w:val="000C2D52"/>
    <w:rsid w:val="000C2D64"/>
    <w:rsid w:val="000C2EB8"/>
    <w:rsid w:val="000C2ED3"/>
    <w:rsid w:val="000C2F01"/>
    <w:rsid w:val="000C3021"/>
    <w:rsid w:val="000C35C8"/>
    <w:rsid w:val="000C3621"/>
    <w:rsid w:val="000C3938"/>
    <w:rsid w:val="000C3B38"/>
    <w:rsid w:val="000C3CF6"/>
    <w:rsid w:val="000C3E25"/>
    <w:rsid w:val="000C3EE5"/>
    <w:rsid w:val="000C3FD4"/>
    <w:rsid w:val="000C42FE"/>
    <w:rsid w:val="000C43C9"/>
    <w:rsid w:val="000C4747"/>
    <w:rsid w:val="000C492B"/>
    <w:rsid w:val="000C49A5"/>
    <w:rsid w:val="000C4A1B"/>
    <w:rsid w:val="000C4A6F"/>
    <w:rsid w:val="000C4D17"/>
    <w:rsid w:val="000C4F03"/>
    <w:rsid w:val="000C4FB0"/>
    <w:rsid w:val="000C553B"/>
    <w:rsid w:val="000C5A71"/>
    <w:rsid w:val="000C5ADF"/>
    <w:rsid w:val="000C62EE"/>
    <w:rsid w:val="000C6343"/>
    <w:rsid w:val="000C638C"/>
    <w:rsid w:val="000C6C1B"/>
    <w:rsid w:val="000C7399"/>
    <w:rsid w:val="000C7A03"/>
    <w:rsid w:val="000C7A3E"/>
    <w:rsid w:val="000C7B94"/>
    <w:rsid w:val="000C7E1B"/>
    <w:rsid w:val="000D044B"/>
    <w:rsid w:val="000D09B2"/>
    <w:rsid w:val="000D0B72"/>
    <w:rsid w:val="000D0CED"/>
    <w:rsid w:val="000D0DFE"/>
    <w:rsid w:val="000D0FBD"/>
    <w:rsid w:val="000D1099"/>
    <w:rsid w:val="000D131D"/>
    <w:rsid w:val="000D1530"/>
    <w:rsid w:val="000D1F3E"/>
    <w:rsid w:val="000D2052"/>
    <w:rsid w:val="000D20E5"/>
    <w:rsid w:val="000D22C7"/>
    <w:rsid w:val="000D240C"/>
    <w:rsid w:val="000D3430"/>
    <w:rsid w:val="000D394B"/>
    <w:rsid w:val="000D3FDD"/>
    <w:rsid w:val="000D440F"/>
    <w:rsid w:val="000D45F7"/>
    <w:rsid w:val="000D4DE8"/>
    <w:rsid w:val="000D4DEF"/>
    <w:rsid w:val="000D4F4A"/>
    <w:rsid w:val="000D4F9C"/>
    <w:rsid w:val="000D51D6"/>
    <w:rsid w:val="000D5200"/>
    <w:rsid w:val="000D5B88"/>
    <w:rsid w:val="000D5CD6"/>
    <w:rsid w:val="000D5E04"/>
    <w:rsid w:val="000D5E3A"/>
    <w:rsid w:val="000D5EF5"/>
    <w:rsid w:val="000D6254"/>
    <w:rsid w:val="000D62C4"/>
    <w:rsid w:val="000D643B"/>
    <w:rsid w:val="000D646C"/>
    <w:rsid w:val="000D6562"/>
    <w:rsid w:val="000D662E"/>
    <w:rsid w:val="000D6BC4"/>
    <w:rsid w:val="000D6D9F"/>
    <w:rsid w:val="000D6E96"/>
    <w:rsid w:val="000D702D"/>
    <w:rsid w:val="000D748D"/>
    <w:rsid w:val="000D77D0"/>
    <w:rsid w:val="000E0403"/>
    <w:rsid w:val="000E0625"/>
    <w:rsid w:val="000E0629"/>
    <w:rsid w:val="000E072F"/>
    <w:rsid w:val="000E0A44"/>
    <w:rsid w:val="000E0D39"/>
    <w:rsid w:val="000E0E57"/>
    <w:rsid w:val="000E100C"/>
    <w:rsid w:val="000E1054"/>
    <w:rsid w:val="000E15A9"/>
    <w:rsid w:val="000E1A6D"/>
    <w:rsid w:val="000E203D"/>
    <w:rsid w:val="000E22CB"/>
    <w:rsid w:val="000E2429"/>
    <w:rsid w:val="000E2504"/>
    <w:rsid w:val="000E291A"/>
    <w:rsid w:val="000E339D"/>
    <w:rsid w:val="000E3880"/>
    <w:rsid w:val="000E41DF"/>
    <w:rsid w:val="000E430B"/>
    <w:rsid w:val="000E4419"/>
    <w:rsid w:val="000E46D0"/>
    <w:rsid w:val="000E4791"/>
    <w:rsid w:val="000E4E2A"/>
    <w:rsid w:val="000E4EA1"/>
    <w:rsid w:val="000E4FB9"/>
    <w:rsid w:val="000E538D"/>
    <w:rsid w:val="000E58E2"/>
    <w:rsid w:val="000E5907"/>
    <w:rsid w:val="000E59A7"/>
    <w:rsid w:val="000E5B31"/>
    <w:rsid w:val="000E5EDA"/>
    <w:rsid w:val="000E6498"/>
    <w:rsid w:val="000E64E2"/>
    <w:rsid w:val="000E6639"/>
    <w:rsid w:val="000E69D8"/>
    <w:rsid w:val="000E6A20"/>
    <w:rsid w:val="000E6E43"/>
    <w:rsid w:val="000E6FD9"/>
    <w:rsid w:val="000E750D"/>
    <w:rsid w:val="000E7CD5"/>
    <w:rsid w:val="000E7CE8"/>
    <w:rsid w:val="000E7D32"/>
    <w:rsid w:val="000E7EDD"/>
    <w:rsid w:val="000F015D"/>
    <w:rsid w:val="000F0196"/>
    <w:rsid w:val="000F026C"/>
    <w:rsid w:val="000F05DA"/>
    <w:rsid w:val="000F0760"/>
    <w:rsid w:val="000F0AD5"/>
    <w:rsid w:val="000F0AF3"/>
    <w:rsid w:val="000F0D26"/>
    <w:rsid w:val="000F0E00"/>
    <w:rsid w:val="000F1285"/>
    <w:rsid w:val="000F13FC"/>
    <w:rsid w:val="000F15A8"/>
    <w:rsid w:val="000F17D9"/>
    <w:rsid w:val="000F191C"/>
    <w:rsid w:val="000F1BEF"/>
    <w:rsid w:val="000F1E07"/>
    <w:rsid w:val="000F23DD"/>
    <w:rsid w:val="000F27C6"/>
    <w:rsid w:val="000F2886"/>
    <w:rsid w:val="000F2B38"/>
    <w:rsid w:val="000F2C7C"/>
    <w:rsid w:val="000F303C"/>
    <w:rsid w:val="000F340F"/>
    <w:rsid w:val="000F3493"/>
    <w:rsid w:val="000F3D4D"/>
    <w:rsid w:val="000F3F2A"/>
    <w:rsid w:val="000F45D3"/>
    <w:rsid w:val="000F4865"/>
    <w:rsid w:val="000F486C"/>
    <w:rsid w:val="000F4B0F"/>
    <w:rsid w:val="000F4B13"/>
    <w:rsid w:val="000F4E44"/>
    <w:rsid w:val="000F4EEC"/>
    <w:rsid w:val="000F52D8"/>
    <w:rsid w:val="000F5414"/>
    <w:rsid w:val="000F54B9"/>
    <w:rsid w:val="000F54C4"/>
    <w:rsid w:val="000F56A8"/>
    <w:rsid w:val="000F56B6"/>
    <w:rsid w:val="000F5DE9"/>
    <w:rsid w:val="000F5FEC"/>
    <w:rsid w:val="000F620A"/>
    <w:rsid w:val="000F62B9"/>
    <w:rsid w:val="000F63DC"/>
    <w:rsid w:val="000F67B4"/>
    <w:rsid w:val="000F6AA7"/>
    <w:rsid w:val="000F6CBD"/>
    <w:rsid w:val="000F6E97"/>
    <w:rsid w:val="000F6EB8"/>
    <w:rsid w:val="000F723E"/>
    <w:rsid w:val="000F7278"/>
    <w:rsid w:val="000F76B5"/>
    <w:rsid w:val="000F7A91"/>
    <w:rsid w:val="000F7D3D"/>
    <w:rsid w:val="000F7DB9"/>
    <w:rsid w:val="000F7E32"/>
    <w:rsid w:val="000F7F72"/>
    <w:rsid w:val="000F7F9A"/>
    <w:rsid w:val="00100037"/>
    <w:rsid w:val="001001C3"/>
    <w:rsid w:val="0010035B"/>
    <w:rsid w:val="00100396"/>
    <w:rsid w:val="001003F2"/>
    <w:rsid w:val="00100806"/>
    <w:rsid w:val="00100C9F"/>
    <w:rsid w:val="00100D02"/>
    <w:rsid w:val="00100F7E"/>
    <w:rsid w:val="00101063"/>
    <w:rsid w:val="00101191"/>
    <w:rsid w:val="00101362"/>
    <w:rsid w:val="00101424"/>
    <w:rsid w:val="0010149F"/>
    <w:rsid w:val="001014F1"/>
    <w:rsid w:val="00101C85"/>
    <w:rsid w:val="00101EA6"/>
    <w:rsid w:val="00101EB2"/>
    <w:rsid w:val="001024D2"/>
    <w:rsid w:val="001025DE"/>
    <w:rsid w:val="001026EA"/>
    <w:rsid w:val="001028B4"/>
    <w:rsid w:val="00102973"/>
    <w:rsid w:val="00102A85"/>
    <w:rsid w:val="00102DC3"/>
    <w:rsid w:val="0010325D"/>
    <w:rsid w:val="00103476"/>
    <w:rsid w:val="00103570"/>
    <w:rsid w:val="00103E58"/>
    <w:rsid w:val="00103FDB"/>
    <w:rsid w:val="00104035"/>
    <w:rsid w:val="001045D5"/>
    <w:rsid w:val="00104696"/>
    <w:rsid w:val="001046E3"/>
    <w:rsid w:val="00104CC4"/>
    <w:rsid w:val="00104CFF"/>
    <w:rsid w:val="00104EBF"/>
    <w:rsid w:val="00105178"/>
    <w:rsid w:val="00105201"/>
    <w:rsid w:val="00105510"/>
    <w:rsid w:val="00105B43"/>
    <w:rsid w:val="00105B44"/>
    <w:rsid w:val="00105B81"/>
    <w:rsid w:val="00105C61"/>
    <w:rsid w:val="00105CDA"/>
    <w:rsid w:val="00105E12"/>
    <w:rsid w:val="00105E22"/>
    <w:rsid w:val="001060E2"/>
    <w:rsid w:val="00106270"/>
    <w:rsid w:val="0010640B"/>
    <w:rsid w:val="001066AD"/>
    <w:rsid w:val="001066E1"/>
    <w:rsid w:val="00106703"/>
    <w:rsid w:val="00106D4D"/>
    <w:rsid w:val="001070D6"/>
    <w:rsid w:val="00107293"/>
    <w:rsid w:val="001074F4"/>
    <w:rsid w:val="00107654"/>
    <w:rsid w:val="00107D95"/>
    <w:rsid w:val="001101CB"/>
    <w:rsid w:val="00110286"/>
    <w:rsid w:val="00110416"/>
    <w:rsid w:val="00111077"/>
    <w:rsid w:val="001112D8"/>
    <w:rsid w:val="0011132F"/>
    <w:rsid w:val="001117E9"/>
    <w:rsid w:val="00111976"/>
    <w:rsid w:val="00111987"/>
    <w:rsid w:val="00112381"/>
    <w:rsid w:val="001123AC"/>
    <w:rsid w:val="0011278B"/>
    <w:rsid w:val="001129CE"/>
    <w:rsid w:val="00112AF1"/>
    <w:rsid w:val="00112BCB"/>
    <w:rsid w:val="00112E23"/>
    <w:rsid w:val="00112EAA"/>
    <w:rsid w:val="00113034"/>
    <w:rsid w:val="001132D9"/>
    <w:rsid w:val="001137AF"/>
    <w:rsid w:val="001138E5"/>
    <w:rsid w:val="001138EF"/>
    <w:rsid w:val="001139AA"/>
    <w:rsid w:val="00113B78"/>
    <w:rsid w:val="00113E23"/>
    <w:rsid w:val="001140BE"/>
    <w:rsid w:val="001141AF"/>
    <w:rsid w:val="00114514"/>
    <w:rsid w:val="00114555"/>
    <w:rsid w:val="00114663"/>
    <w:rsid w:val="00114D8A"/>
    <w:rsid w:val="00114D91"/>
    <w:rsid w:val="00114E6A"/>
    <w:rsid w:val="00115041"/>
    <w:rsid w:val="0011521C"/>
    <w:rsid w:val="00115432"/>
    <w:rsid w:val="001158EA"/>
    <w:rsid w:val="00115BFC"/>
    <w:rsid w:val="00115FE4"/>
    <w:rsid w:val="00116DB3"/>
    <w:rsid w:val="00116FD9"/>
    <w:rsid w:val="001175B2"/>
    <w:rsid w:val="0011768A"/>
    <w:rsid w:val="0011794D"/>
    <w:rsid w:val="00117D00"/>
    <w:rsid w:val="00120117"/>
    <w:rsid w:val="001209D6"/>
    <w:rsid w:val="00120A48"/>
    <w:rsid w:val="00120AA6"/>
    <w:rsid w:val="00120F7F"/>
    <w:rsid w:val="00121618"/>
    <w:rsid w:val="001217D1"/>
    <w:rsid w:val="00121B50"/>
    <w:rsid w:val="00121C7D"/>
    <w:rsid w:val="00121D32"/>
    <w:rsid w:val="00121E93"/>
    <w:rsid w:val="00121FDA"/>
    <w:rsid w:val="0012211A"/>
    <w:rsid w:val="001224C8"/>
    <w:rsid w:val="001229CE"/>
    <w:rsid w:val="00122B6D"/>
    <w:rsid w:val="00122BC9"/>
    <w:rsid w:val="00123344"/>
    <w:rsid w:val="001233E8"/>
    <w:rsid w:val="00123610"/>
    <w:rsid w:val="00123AB2"/>
    <w:rsid w:val="00123B76"/>
    <w:rsid w:val="00123C07"/>
    <w:rsid w:val="00123CA6"/>
    <w:rsid w:val="00124186"/>
    <w:rsid w:val="00124491"/>
    <w:rsid w:val="0012454D"/>
    <w:rsid w:val="00124729"/>
    <w:rsid w:val="00124880"/>
    <w:rsid w:val="001248B1"/>
    <w:rsid w:val="001249CB"/>
    <w:rsid w:val="00124AB4"/>
    <w:rsid w:val="00124CA4"/>
    <w:rsid w:val="00125009"/>
    <w:rsid w:val="0012507F"/>
    <w:rsid w:val="0012549A"/>
    <w:rsid w:val="00125DE4"/>
    <w:rsid w:val="00125E0C"/>
    <w:rsid w:val="00125EC0"/>
    <w:rsid w:val="00126325"/>
    <w:rsid w:val="001268A1"/>
    <w:rsid w:val="00126B18"/>
    <w:rsid w:val="00126C1A"/>
    <w:rsid w:val="00126C8B"/>
    <w:rsid w:val="00126F53"/>
    <w:rsid w:val="00127152"/>
    <w:rsid w:val="001272BC"/>
    <w:rsid w:val="0012761E"/>
    <w:rsid w:val="0012799F"/>
    <w:rsid w:val="001279FA"/>
    <w:rsid w:val="00127B0A"/>
    <w:rsid w:val="00127D12"/>
    <w:rsid w:val="00127D22"/>
    <w:rsid w:val="00127D4D"/>
    <w:rsid w:val="00127E5A"/>
    <w:rsid w:val="00127E78"/>
    <w:rsid w:val="00127FD0"/>
    <w:rsid w:val="00130036"/>
    <w:rsid w:val="0013010C"/>
    <w:rsid w:val="001302E8"/>
    <w:rsid w:val="00130529"/>
    <w:rsid w:val="00130999"/>
    <w:rsid w:val="00130AC7"/>
    <w:rsid w:val="0013155E"/>
    <w:rsid w:val="001315E2"/>
    <w:rsid w:val="001316F6"/>
    <w:rsid w:val="0013174A"/>
    <w:rsid w:val="00131ED8"/>
    <w:rsid w:val="001321D6"/>
    <w:rsid w:val="00132A3A"/>
    <w:rsid w:val="00132BD2"/>
    <w:rsid w:val="00132E2E"/>
    <w:rsid w:val="001334B3"/>
    <w:rsid w:val="0013352C"/>
    <w:rsid w:val="001343C1"/>
    <w:rsid w:val="00134447"/>
    <w:rsid w:val="0013481A"/>
    <w:rsid w:val="001348A0"/>
    <w:rsid w:val="0013494E"/>
    <w:rsid w:val="00134A81"/>
    <w:rsid w:val="0013550D"/>
    <w:rsid w:val="00135856"/>
    <w:rsid w:val="001359AA"/>
    <w:rsid w:val="00135B8E"/>
    <w:rsid w:val="00136406"/>
    <w:rsid w:val="00136538"/>
    <w:rsid w:val="00136E68"/>
    <w:rsid w:val="00136EA6"/>
    <w:rsid w:val="00137065"/>
    <w:rsid w:val="00137130"/>
    <w:rsid w:val="001371E9"/>
    <w:rsid w:val="0013722F"/>
    <w:rsid w:val="001375E6"/>
    <w:rsid w:val="00137817"/>
    <w:rsid w:val="001378ED"/>
    <w:rsid w:val="0013796D"/>
    <w:rsid w:val="00137B11"/>
    <w:rsid w:val="00137F08"/>
    <w:rsid w:val="001400D5"/>
    <w:rsid w:val="001401C4"/>
    <w:rsid w:val="001401E0"/>
    <w:rsid w:val="0014021B"/>
    <w:rsid w:val="00140748"/>
    <w:rsid w:val="001409FF"/>
    <w:rsid w:val="00140A0F"/>
    <w:rsid w:val="00140CF6"/>
    <w:rsid w:val="00140DEC"/>
    <w:rsid w:val="0014198D"/>
    <w:rsid w:val="001419B2"/>
    <w:rsid w:val="00141E56"/>
    <w:rsid w:val="00141F76"/>
    <w:rsid w:val="00142122"/>
    <w:rsid w:val="0014256B"/>
    <w:rsid w:val="001425E8"/>
    <w:rsid w:val="0014279D"/>
    <w:rsid w:val="00142C8C"/>
    <w:rsid w:val="00143716"/>
    <w:rsid w:val="001444EB"/>
    <w:rsid w:val="001449DA"/>
    <w:rsid w:val="00144B62"/>
    <w:rsid w:val="001451CE"/>
    <w:rsid w:val="00145588"/>
    <w:rsid w:val="001458E9"/>
    <w:rsid w:val="0014596A"/>
    <w:rsid w:val="001459FC"/>
    <w:rsid w:val="00145C67"/>
    <w:rsid w:val="0014621E"/>
    <w:rsid w:val="00146599"/>
    <w:rsid w:val="001467EA"/>
    <w:rsid w:val="00146872"/>
    <w:rsid w:val="0014690E"/>
    <w:rsid w:val="00146A8E"/>
    <w:rsid w:val="00146AEC"/>
    <w:rsid w:val="00146B78"/>
    <w:rsid w:val="00146E72"/>
    <w:rsid w:val="00147757"/>
    <w:rsid w:val="00147A2A"/>
    <w:rsid w:val="00147A6B"/>
    <w:rsid w:val="00147FCF"/>
    <w:rsid w:val="001500EB"/>
    <w:rsid w:val="00150156"/>
    <w:rsid w:val="001501F4"/>
    <w:rsid w:val="001504B8"/>
    <w:rsid w:val="0015080D"/>
    <w:rsid w:val="00150B34"/>
    <w:rsid w:val="00150B6B"/>
    <w:rsid w:val="00150ECC"/>
    <w:rsid w:val="001510C6"/>
    <w:rsid w:val="0015173F"/>
    <w:rsid w:val="001518AC"/>
    <w:rsid w:val="001519B6"/>
    <w:rsid w:val="00151D35"/>
    <w:rsid w:val="00151F7B"/>
    <w:rsid w:val="001521E5"/>
    <w:rsid w:val="00152340"/>
    <w:rsid w:val="001524F1"/>
    <w:rsid w:val="001525E8"/>
    <w:rsid w:val="00152604"/>
    <w:rsid w:val="00152698"/>
    <w:rsid w:val="0015283A"/>
    <w:rsid w:val="00152999"/>
    <w:rsid w:val="00152EA9"/>
    <w:rsid w:val="00152F76"/>
    <w:rsid w:val="00153155"/>
    <w:rsid w:val="00153354"/>
    <w:rsid w:val="0015365D"/>
    <w:rsid w:val="0015373B"/>
    <w:rsid w:val="001539C4"/>
    <w:rsid w:val="00153A25"/>
    <w:rsid w:val="00153F02"/>
    <w:rsid w:val="001542F1"/>
    <w:rsid w:val="0015435F"/>
    <w:rsid w:val="00154483"/>
    <w:rsid w:val="00154929"/>
    <w:rsid w:val="00154C9F"/>
    <w:rsid w:val="00154D83"/>
    <w:rsid w:val="0015507E"/>
    <w:rsid w:val="00155235"/>
    <w:rsid w:val="00155445"/>
    <w:rsid w:val="00155621"/>
    <w:rsid w:val="00155917"/>
    <w:rsid w:val="00155A37"/>
    <w:rsid w:val="00155BE3"/>
    <w:rsid w:val="0015614B"/>
    <w:rsid w:val="00156BD2"/>
    <w:rsid w:val="00156E39"/>
    <w:rsid w:val="00156F0C"/>
    <w:rsid w:val="00157214"/>
    <w:rsid w:val="00157B10"/>
    <w:rsid w:val="00157B97"/>
    <w:rsid w:val="00157D56"/>
    <w:rsid w:val="00157E72"/>
    <w:rsid w:val="001600AC"/>
    <w:rsid w:val="00160341"/>
    <w:rsid w:val="00160357"/>
    <w:rsid w:val="001603A3"/>
    <w:rsid w:val="0016041D"/>
    <w:rsid w:val="0016060B"/>
    <w:rsid w:val="00160862"/>
    <w:rsid w:val="001608A1"/>
    <w:rsid w:val="0016097D"/>
    <w:rsid w:val="00160BAC"/>
    <w:rsid w:val="00160C57"/>
    <w:rsid w:val="00160C90"/>
    <w:rsid w:val="00160CD7"/>
    <w:rsid w:val="00161174"/>
    <w:rsid w:val="001613A9"/>
    <w:rsid w:val="001615E7"/>
    <w:rsid w:val="00161958"/>
    <w:rsid w:val="00161B2C"/>
    <w:rsid w:val="00161B4E"/>
    <w:rsid w:val="00161BBE"/>
    <w:rsid w:val="00161D6A"/>
    <w:rsid w:val="00161E2B"/>
    <w:rsid w:val="00161E5B"/>
    <w:rsid w:val="00162039"/>
    <w:rsid w:val="00162091"/>
    <w:rsid w:val="001623C0"/>
    <w:rsid w:val="00162A25"/>
    <w:rsid w:val="00162DA4"/>
    <w:rsid w:val="00162E53"/>
    <w:rsid w:val="00163334"/>
    <w:rsid w:val="00163802"/>
    <w:rsid w:val="00163ADC"/>
    <w:rsid w:val="00163BED"/>
    <w:rsid w:val="00163E3C"/>
    <w:rsid w:val="00163EBC"/>
    <w:rsid w:val="00164254"/>
    <w:rsid w:val="001644D5"/>
    <w:rsid w:val="00164563"/>
    <w:rsid w:val="00164ACA"/>
    <w:rsid w:val="00164AF2"/>
    <w:rsid w:val="00164DC9"/>
    <w:rsid w:val="00164F4E"/>
    <w:rsid w:val="00165134"/>
    <w:rsid w:val="001652AF"/>
    <w:rsid w:val="0016530A"/>
    <w:rsid w:val="001653C7"/>
    <w:rsid w:val="00165482"/>
    <w:rsid w:val="001654A7"/>
    <w:rsid w:val="00165565"/>
    <w:rsid w:val="001655C7"/>
    <w:rsid w:val="00165A20"/>
    <w:rsid w:val="00165C04"/>
    <w:rsid w:val="001661B3"/>
    <w:rsid w:val="001667C6"/>
    <w:rsid w:val="001669BE"/>
    <w:rsid w:val="001669EE"/>
    <w:rsid w:val="00166DED"/>
    <w:rsid w:val="00166E12"/>
    <w:rsid w:val="0016719A"/>
    <w:rsid w:val="001674DA"/>
    <w:rsid w:val="001674F6"/>
    <w:rsid w:val="00167527"/>
    <w:rsid w:val="00167720"/>
    <w:rsid w:val="0017000A"/>
    <w:rsid w:val="001700D6"/>
    <w:rsid w:val="00170124"/>
    <w:rsid w:val="001704DC"/>
    <w:rsid w:val="00170531"/>
    <w:rsid w:val="00170661"/>
    <w:rsid w:val="0017074A"/>
    <w:rsid w:val="0017090F"/>
    <w:rsid w:val="00170BD6"/>
    <w:rsid w:val="00170D04"/>
    <w:rsid w:val="0017109E"/>
    <w:rsid w:val="001713FA"/>
    <w:rsid w:val="0017169D"/>
    <w:rsid w:val="00171704"/>
    <w:rsid w:val="00171866"/>
    <w:rsid w:val="00171948"/>
    <w:rsid w:val="00171D86"/>
    <w:rsid w:val="00172516"/>
    <w:rsid w:val="00172A0B"/>
    <w:rsid w:val="00172EB5"/>
    <w:rsid w:val="00172FDB"/>
    <w:rsid w:val="00173035"/>
    <w:rsid w:val="00173073"/>
    <w:rsid w:val="00173105"/>
    <w:rsid w:val="001733FA"/>
    <w:rsid w:val="001735E4"/>
    <w:rsid w:val="00173918"/>
    <w:rsid w:val="00173A25"/>
    <w:rsid w:val="00173C0D"/>
    <w:rsid w:val="00173E21"/>
    <w:rsid w:val="0017485D"/>
    <w:rsid w:val="00174D69"/>
    <w:rsid w:val="001753A2"/>
    <w:rsid w:val="00175792"/>
    <w:rsid w:val="0017588B"/>
    <w:rsid w:val="00176278"/>
    <w:rsid w:val="00176660"/>
    <w:rsid w:val="0017693D"/>
    <w:rsid w:val="00176A3C"/>
    <w:rsid w:val="00177126"/>
    <w:rsid w:val="0017727D"/>
    <w:rsid w:val="00177740"/>
    <w:rsid w:val="00177871"/>
    <w:rsid w:val="001778A8"/>
    <w:rsid w:val="001778BF"/>
    <w:rsid w:val="00177A62"/>
    <w:rsid w:val="00177CF5"/>
    <w:rsid w:val="00177DA7"/>
    <w:rsid w:val="001802B5"/>
    <w:rsid w:val="001803A9"/>
    <w:rsid w:val="00180693"/>
    <w:rsid w:val="00180E8A"/>
    <w:rsid w:val="001811C8"/>
    <w:rsid w:val="001813CC"/>
    <w:rsid w:val="00181542"/>
    <w:rsid w:val="001815A2"/>
    <w:rsid w:val="001816EA"/>
    <w:rsid w:val="001823DF"/>
    <w:rsid w:val="00182E19"/>
    <w:rsid w:val="001830C0"/>
    <w:rsid w:val="00183236"/>
    <w:rsid w:val="0018336E"/>
    <w:rsid w:val="00183409"/>
    <w:rsid w:val="001834F5"/>
    <w:rsid w:val="00183DBD"/>
    <w:rsid w:val="00184056"/>
    <w:rsid w:val="00184231"/>
    <w:rsid w:val="0018494B"/>
    <w:rsid w:val="00184E44"/>
    <w:rsid w:val="0018508B"/>
    <w:rsid w:val="0018579A"/>
    <w:rsid w:val="0018599F"/>
    <w:rsid w:val="00185ADC"/>
    <w:rsid w:val="00185BB8"/>
    <w:rsid w:val="0018628D"/>
    <w:rsid w:val="00186583"/>
    <w:rsid w:val="001868A7"/>
    <w:rsid w:val="00186CAF"/>
    <w:rsid w:val="00186D67"/>
    <w:rsid w:val="00186DF9"/>
    <w:rsid w:val="0018748C"/>
    <w:rsid w:val="0018757D"/>
    <w:rsid w:val="00187A8B"/>
    <w:rsid w:val="00187B0A"/>
    <w:rsid w:val="00187DBD"/>
    <w:rsid w:val="00187DFF"/>
    <w:rsid w:val="0019035C"/>
    <w:rsid w:val="001905E5"/>
    <w:rsid w:val="00190A8C"/>
    <w:rsid w:val="00190A96"/>
    <w:rsid w:val="00190B34"/>
    <w:rsid w:val="0019125E"/>
    <w:rsid w:val="00191422"/>
    <w:rsid w:val="001915F0"/>
    <w:rsid w:val="00191778"/>
    <w:rsid w:val="00191981"/>
    <w:rsid w:val="00191EA1"/>
    <w:rsid w:val="0019229F"/>
    <w:rsid w:val="00192363"/>
    <w:rsid w:val="001925F2"/>
    <w:rsid w:val="00192CC8"/>
    <w:rsid w:val="00192DBD"/>
    <w:rsid w:val="001930A8"/>
    <w:rsid w:val="001931B6"/>
    <w:rsid w:val="0019380B"/>
    <w:rsid w:val="00193B0D"/>
    <w:rsid w:val="00193C0B"/>
    <w:rsid w:val="00193F42"/>
    <w:rsid w:val="001941E0"/>
    <w:rsid w:val="00194216"/>
    <w:rsid w:val="001944DE"/>
    <w:rsid w:val="001945D4"/>
    <w:rsid w:val="0019477B"/>
    <w:rsid w:val="00194AB8"/>
    <w:rsid w:val="00194CA0"/>
    <w:rsid w:val="00194DF5"/>
    <w:rsid w:val="00194F1C"/>
    <w:rsid w:val="00195166"/>
    <w:rsid w:val="001952E0"/>
    <w:rsid w:val="00195379"/>
    <w:rsid w:val="001953B4"/>
    <w:rsid w:val="001954A1"/>
    <w:rsid w:val="0019594F"/>
    <w:rsid w:val="001962C4"/>
    <w:rsid w:val="00196394"/>
    <w:rsid w:val="00196854"/>
    <w:rsid w:val="0019733B"/>
    <w:rsid w:val="00197422"/>
    <w:rsid w:val="0019742D"/>
    <w:rsid w:val="001976E6"/>
    <w:rsid w:val="00197780"/>
    <w:rsid w:val="0019797E"/>
    <w:rsid w:val="00197A36"/>
    <w:rsid w:val="00197BA5"/>
    <w:rsid w:val="00197F71"/>
    <w:rsid w:val="001A0137"/>
    <w:rsid w:val="001A044E"/>
    <w:rsid w:val="001A057C"/>
    <w:rsid w:val="001A05A5"/>
    <w:rsid w:val="001A088C"/>
    <w:rsid w:val="001A08DD"/>
    <w:rsid w:val="001A08F6"/>
    <w:rsid w:val="001A0C43"/>
    <w:rsid w:val="001A0C82"/>
    <w:rsid w:val="001A10F3"/>
    <w:rsid w:val="001A143D"/>
    <w:rsid w:val="001A153F"/>
    <w:rsid w:val="001A15EC"/>
    <w:rsid w:val="001A1D84"/>
    <w:rsid w:val="001A1E76"/>
    <w:rsid w:val="001A1E8E"/>
    <w:rsid w:val="001A237F"/>
    <w:rsid w:val="001A30F0"/>
    <w:rsid w:val="001A318C"/>
    <w:rsid w:val="001A3208"/>
    <w:rsid w:val="001A32B7"/>
    <w:rsid w:val="001A3346"/>
    <w:rsid w:val="001A3408"/>
    <w:rsid w:val="001A34D7"/>
    <w:rsid w:val="001A38EF"/>
    <w:rsid w:val="001A3AE2"/>
    <w:rsid w:val="001A3B2A"/>
    <w:rsid w:val="001A41E3"/>
    <w:rsid w:val="001A427A"/>
    <w:rsid w:val="001A4317"/>
    <w:rsid w:val="001A458E"/>
    <w:rsid w:val="001A4733"/>
    <w:rsid w:val="001A499A"/>
    <w:rsid w:val="001A49F6"/>
    <w:rsid w:val="001A4A55"/>
    <w:rsid w:val="001A4A88"/>
    <w:rsid w:val="001A528A"/>
    <w:rsid w:val="001A5497"/>
    <w:rsid w:val="001A54F0"/>
    <w:rsid w:val="001A54FC"/>
    <w:rsid w:val="001A56C4"/>
    <w:rsid w:val="001A5871"/>
    <w:rsid w:val="001A59DC"/>
    <w:rsid w:val="001A5BC0"/>
    <w:rsid w:val="001A5BEF"/>
    <w:rsid w:val="001A5DA4"/>
    <w:rsid w:val="001A62D4"/>
    <w:rsid w:val="001A63E5"/>
    <w:rsid w:val="001A67AF"/>
    <w:rsid w:val="001A698F"/>
    <w:rsid w:val="001A6BE4"/>
    <w:rsid w:val="001A6E69"/>
    <w:rsid w:val="001A6FFA"/>
    <w:rsid w:val="001A70CB"/>
    <w:rsid w:val="001A71E2"/>
    <w:rsid w:val="001A7271"/>
    <w:rsid w:val="001A7EC5"/>
    <w:rsid w:val="001A7F22"/>
    <w:rsid w:val="001B0022"/>
    <w:rsid w:val="001B02B9"/>
    <w:rsid w:val="001B052F"/>
    <w:rsid w:val="001B0967"/>
    <w:rsid w:val="001B0B08"/>
    <w:rsid w:val="001B0B1A"/>
    <w:rsid w:val="001B102E"/>
    <w:rsid w:val="001B12BD"/>
    <w:rsid w:val="001B149C"/>
    <w:rsid w:val="001B1754"/>
    <w:rsid w:val="001B1B3C"/>
    <w:rsid w:val="001B23E1"/>
    <w:rsid w:val="001B2944"/>
    <w:rsid w:val="001B29A8"/>
    <w:rsid w:val="001B29AA"/>
    <w:rsid w:val="001B29C6"/>
    <w:rsid w:val="001B2E09"/>
    <w:rsid w:val="001B3029"/>
    <w:rsid w:val="001B352C"/>
    <w:rsid w:val="001B38C6"/>
    <w:rsid w:val="001B3B08"/>
    <w:rsid w:val="001B3C2F"/>
    <w:rsid w:val="001B405D"/>
    <w:rsid w:val="001B433F"/>
    <w:rsid w:val="001B45DD"/>
    <w:rsid w:val="001B4DC4"/>
    <w:rsid w:val="001B5093"/>
    <w:rsid w:val="001B50A5"/>
    <w:rsid w:val="001B520B"/>
    <w:rsid w:val="001B5520"/>
    <w:rsid w:val="001B557F"/>
    <w:rsid w:val="001B55DE"/>
    <w:rsid w:val="001B55FA"/>
    <w:rsid w:val="001B5962"/>
    <w:rsid w:val="001B5B99"/>
    <w:rsid w:val="001B5E6E"/>
    <w:rsid w:val="001B5ED3"/>
    <w:rsid w:val="001B610F"/>
    <w:rsid w:val="001B6432"/>
    <w:rsid w:val="001B66C4"/>
    <w:rsid w:val="001B6E90"/>
    <w:rsid w:val="001B713B"/>
    <w:rsid w:val="001B7369"/>
    <w:rsid w:val="001B7421"/>
    <w:rsid w:val="001B75BC"/>
    <w:rsid w:val="001B788B"/>
    <w:rsid w:val="001C0585"/>
    <w:rsid w:val="001C06A7"/>
    <w:rsid w:val="001C0772"/>
    <w:rsid w:val="001C0A27"/>
    <w:rsid w:val="001C0D70"/>
    <w:rsid w:val="001C0F05"/>
    <w:rsid w:val="001C103C"/>
    <w:rsid w:val="001C13C9"/>
    <w:rsid w:val="001C184F"/>
    <w:rsid w:val="001C1AC3"/>
    <w:rsid w:val="001C1B83"/>
    <w:rsid w:val="001C1B8A"/>
    <w:rsid w:val="001C1BA8"/>
    <w:rsid w:val="001C21EA"/>
    <w:rsid w:val="001C22D0"/>
    <w:rsid w:val="001C2952"/>
    <w:rsid w:val="001C2DA1"/>
    <w:rsid w:val="001C2FD9"/>
    <w:rsid w:val="001C3166"/>
    <w:rsid w:val="001C327B"/>
    <w:rsid w:val="001C362A"/>
    <w:rsid w:val="001C366A"/>
    <w:rsid w:val="001C37F0"/>
    <w:rsid w:val="001C393C"/>
    <w:rsid w:val="001C3C51"/>
    <w:rsid w:val="001C3D09"/>
    <w:rsid w:val="001C3D45"/>
    <w:rsid w:val="001C3DE4"/>
    <w:rsid w:val="001C3DF8"/>
    <w:rsid w:val="001C4183"/>
    <w:rsid w:val="001C4213"/>
    <w:rsid w:val="001C42A2"/>
    <w:rsid w:val="001C4523"/>
    <w:rsid w:val="001C494B"/>
    <w:rsid w:val="001C49CC"/>
    <w:rsid w:val="001C4CD9"/>
    <w:rsid w:val="001C4D1F"/>
    <w:rsid w:val="001C572D"/>
    <w:rsid w:val="001C5991"/>
    <w:rsid w:val="001C59C5"/>
    <w:rsid w:val="001C5CAE"/>
    <w:rsid w:val="001C5D86"/>
    <w:rsid w:val="001C5EBF"/>
    <w:rsid w:val="001C60ED"/>
    <w:rsid w:val="001C6523"/>
    <w:rsid w:val="001C6796"/>
    <w:rsid w:val="001C698C"/>
    <w:rsid w:val="001C6AC5"/>
    <w:rsid w:val="001C6BD5"/>
    <w:rsid w:val="001C6F1E"/>
    <w:rsid w:val="001C7818"/>
    <w:rsid w:val="001C7879"/>
    <w:rsid w:val="001C7E6E"/>
    <w:rsid w:val="001C7EBE"/>
    <w:rsid w:val="001C7F7F"/>
    <w:rsid w:val="001D01F4"/>
    <w:rsid w:val="001D028A"/>
    <w:rsid w:val="001D03EC"/>
    <w:rsid w:val="001D05F4"/>
    <w:rsid w:val="001D0665"/>
    <w:rsid w:val="001D0CD2"/>
    <w:rsid w:val="001D0D7B"/>
    <w:rsid w:val="001D12D4"/>
    <w:rsid w:val="001D17CE"/>
    <w:rsid w:val="001D1A89"/>
    <w:rsid w:val="001D22C1"/>
    <w:rsid w:val="001D2341"/>
    <w:rsid w:val="001D248A"/>
    <w:rsid w:val="001D251F"/>
    <w:rsid w:val="001D2592"/>
    <w:rsid w:val="001D2830"/>
    <w:rsid w:val="001D2C5D"/>
    <w:rsid w:val="001D2DEE"/>
    <w:rsid w:val="001D2EBC"/>
    <w:rsid w:val="001D314A"/>
    <w:rsid w:val="001D31A9"/>
    <w:rsid w:val="001D33DB"/>
    <w:rsid w:val="001D3443"/>
    <w:rsid w:val="001D37BF"/>
    <w:rsid w:val="001D3A36"/>
    <w:rsid w:val="001D3B40"/>
    <w:rsid w:val="001D40B6"/>
    <w:rsid w:val="001D40C2"/>
    <w:rsid w:val="001D4713"/>
    <w:rsid w:val="001D48CE"/>
    <w:rsid w:val="001D4A2F"/>
    <w:rsid w:val="001D4AC4"/>
    <w:rsid w:val="001D4B08"/>
    <w:rsid w:val="001D4D5E"/>
    <w:rsid w:val="001D4F3C"/>
    <w:rsid w:val="001D500B"/>
    <w:rsid w:val="001D521E"/>
    <w:rsid w:val="001D52B4"/>
    <w:rsid w:val="001D5415"/>
    <w:rsid w:val="001D5747"/>
    <w:rsid w:val="001D59FF"/>
    <w:rsid w:val="001D5C47"/>
    <w:rsid w:val="001D5F36"/>
    <w:rsid w:val="001D64E0"/>
    <w:rsid w:val="001D667E"/>
    <w:rsid w:val="001D6A64"/>
    <w:rsid w:val="001D6C38"/>
    <w:rsid w:val="001D72AD"/>
    <w:rsid w:val="001D76DC"/>
    <w:rsid w:val="001D76DE"/>
    <w:rsid w:val="001D7761"/>
    <w:rsid w:val="001D7CCF"/>
    <w:rsid w:val="001D7D35"/>
    <w:rsid w:val="001D7DE0"/>
    <w:rsid w:val="001D7EC1"/>
    <w:rsid w:val="001E03CE"/>
    <w:rsid w:val="001E0495"/>
    <w:rsid w:val="001E056F"/>
    <w:rsid w:val="001E06BA"/>
    <w:rsid w:val="001E091E"/>
    <w:rsid w:val="001E0950"/>
    <w:rsid w:val="001E0DFC"/>
    <w:rsid w:val="001E1151"/>
    <w:rsid w:val="001E1562"/>
    <w:rsid w:val="001E21E4"/>
    <w:rsid w:val="001E2690"/>
    <w:rsid w:val="001E2AB5"/>
    <w:rsid w:val="001E2E07"/>
    <w:rsid w:val="001E31DB"/>
    <w:rsid w:val="001E342A"/>
    <w:rsid w:val="001E3582"/>
    <w:rsid w:val="001E3919"/>
    <w:rsid w:val="001E3CA9"/>
    <w:rsid w:val="001E423A"/>
    <w:rsid w:val="001E4429"/>
    <w:rsid w:val="001E4CBD"/>
    <w:rsid w:val="001E50C0"/>
    <w:rsid w:val="001E58D7"/>
    <w:rsid w:val="001E58ED"/>
    <w:rsid w:val="001E5DC1"/>
    <w:rsid w:val="001E5ED8"/>
    <w:rsid w:val="001E5EF9"/>
    <w:rsid w:val="001E60BA"/>
    <w:rsid w:val="001E636E"/>
    <w:rsid w:val="001E64C1"/>
    <w:rsid w:val="001E65F9"/>
    <w:rsid w:val="001E6C36"/>
    <w:rsid w:val="001E6FE9"/>
    <w:rsid w:val="001E70D1"/>
    <w:rsid w:val="001E7173"/>
    <w:rsid w:val="001E7565"/>
    <w:rsid w:val="001E7900"/>
    <w:rsid w:val="001E7AC5"/>
    <w:rsid w:val="001E7BB5"/>
    <w:rsid w:val="001E7BE7"/>
    <w:rsid w:val="001F003C"/>
    <w:rsid w:val="001F0149"/>
    <w:rsid w:val="001F01A9"/>
    <w:rsid w:val="001F0281"/>
    <w:rsid w:val="001F038D"/>
    <w:rsid w:val="001F057F"/>
    <w:rsid w:val="001F05AC"/>
    <w:rsid w:val="001F0866"/>
    <w:rsid w:val="001F0DE2"/>
    <w:rsid w:val="001F0E29"/>
    <w:rsid w:val="001F0FD0"/>
    <w:rsid w:val="001F1586"/>
    <w:rsid w:val="001F1724"/>
    <w:rsid w:val="001F194D"/>
    <w:rsid w:val="001F197B"/>
    <w:rsid w:val="001F1AEA"/>
    <w:rsid w:val="001F1C47"/>
    <w:rsid w:val="001F1D1F"/>
    <w:rsid w:val="001F1D55"/>
    <w:rsid w:val="001F1E0B"/>
    <w:rsid w:val="001F1ECF"/>
    <w:rsid w:val="001F1F0F"/>
    <w:rsid w:val="001F20B5"/>
    <w:rsid w:val="001F249D"/>
    <w:rsid w:val="001F2639"/>
    <w:rsid w:val="001F26C2"/>
    <w:rsid w:val="001F26D3"/>
    <w:rsid w:val="001F2863"/>
    <w:rsid w:val="001F2C61"/>
    <w:rsid w:val="001F2CB7"/>
    <w:rsid w:val="001F2D5F"/>
    <w:rsid w:val="001F2E47"/>
    <w:rsid w:val="001F3208"/>
    <w:rsid w:val="001F32F0"/>
    <w:rsid w:val="001F3823"/>
    <w:rsid w:val="001F39AE"/>
    <w:rsid w:val="001F3B4D"/>
    <w:rsid w:val="001F3D89"/>
    <w:rsid w:val="001F3E42"/>
    <w:rsid w:val="001F3F82"/>
    <w:rsid w:val="001F4346"/>
    <w:rsid w:val="001F436A"/>
    <w:rsid w:val="001F4A35"/>
    <w:rsid w:val="001F4CA9"/>
    <w:rsid w:val="001F4EF6"/>
    <w:rsid w:val="001F4F85"/>
    <w:rsid w:val="001F5A55"/>
    <w:rsid w:val="001F656F"/>
    <w:rsid w:val="001F671D"/>
    <w:rsid w:val="001F6AE8"/>
    <w:rsid w:val="001F6B36"/>
    <w:rsid w:val="001F7160"/>
    <w:rsid w:val="001F7174"/>
    <w:rsid w:val="001F729B"/>
    <w:rsid w:val="001F734C"/>
    <w:rsid w:val="001F73E6"/>
    <w:rsid w:val="001F748F"/>
    <w:rsid w:val="00200126"/>
    <w:rsid w:val="00200141"/>
    <w:rsid w:val="00200228"/>
    <w:rsid w:val="0020026C"/>
    <w:rsid w:val="002007A5"/>
    <w:rsid w:val="00200836"/>
    <w:rsid w:val="00200A40"/>
    <w:rsid w:val="00200A6A"/>
    <w:rsid w:val="00200DA4"/>
    <w:rsid w:val="00200EB7"/>
    <w:rsid w:val="0020140F"/>
    <w:rsid w:val="002015FB"/>
    <w:rsid w:val="00201916"/>
    <w:rsid w:val="00201B29"/>
    <w:rsid w:val="00201E07"/>
    <w:rsid w:val="00201F8F"/>
    <w:rsid w:val="00202500"/>
    <w:rsid w:val="00202825"/>
    <w:rsid w:val="00202D22"/>
    <w:rsid w:val="00202F44"/>
    <w:rsid w:val="00203001"/>
    <w:rsid w:val="00203150"/>
    <w:rsid w:val="002032FF"/>
    <w:rsid w:val="00203371"/>
    <w:rsid w:val="002035B2"/>
    <w:rsid w:val="002035C5"/>
    <w:rsid w:val="00203BAF"/>
    <w:rsid w:val="00203BF9"/>
    <w:rsid w:val="00203D58"/>
    <w:rsid w:val="00203DCA"/>
    <w:rsid w:val="002041F0"/>
    <w:rsid w:val="002048E6"/>
    <w:rsid w:val="00204C9C"/>
    <w:rsid w:val="00204F5F"/>
    <w:rsid w:val="002051E9"/>
    <w:rsid w:val="0020529D"/>
    <w:rsid w:val="00205367"/>
    <w:rsid w:val="0020570D"/>
    <w:rsid w:val="0020574C"/>
    <w:rsid w:val="00205CB2"/>
    <w:rsid w:val="00205EF3"/>
    <w:rsid w:val="00205F85"/>
    <w:rsid w:val="00205FA9"/>
    <w:rsid w:val="002061D9"/>
    <w:rsid w:val="002061DD"/>
    <w:rsid w:val="002069A5"/>
    <w:rsid w:val="00206AD9"/>
    <w:rsid w:val="00206F5F"/>
    <w:rsid w:val="0020704B"/>
    <w:rsid w:val="00207240"/>
    <w:rsid w:val="00207515"/>
    <w:rsid w:val="0020758A"/>
    <w:rsid w:val="002078D8"/>
    <w:rsid w:val="00207A61"/>
    <w:rsid w:val="00207B94"/>
    <w:rsid w:val="00207BC5"/>
    <w:rsid w:val="00207EE9"/>
    <w:rsid w:val="00207FAD"/>
    <w:rsid w:val="00210148"/>
    <w:rsid w:val="0021096B"/>
    <w:rsid w:val="00210CC4"/>
    <w:rsid w:val="00210D88"/>
    <w:rsid w:val="002110B0"/>
    <w:rsid w:val="00211866"/>
    <w:rsid w:val="00211C95"/>
    <w:rsid w:val="00212014"/>
    <w:rsid w:val="002120DA"/>
    <w:rsid w:val="002124DF"/>
    <w:rsid w:val="002125B5"/>
    <w:rsid w:val="002126C2"/>
    <w:rsid w:val="00212B26"/>
    <w:rsid w:val="00212EB3"/>
    <w:rsid w:val="0021323D"/>
    <w:rsid w:val="0021359B"/>
    <w:rsid w:val="00213E63"/>
    <w:rsid w:val="002140D9"/>
    <w:rsid w:val="0021432C"/>
    <w:rsid w:val="00214826"/>
    <w:rsid w:val="00214CFF"/>
    <w:rsid w:val="00214DD6"/>
    <w:rsid w:val="00214E9D"/>
    <w:rsid w:val="0021522B"/>
    <w:rsid w:val="0021570E"/>
    <w:rsid w:val="00215A7C"/>
    <w:rsid w:val="00215FF9"/>
    <w:rsid w:val="0021603A"/>
    <w:rsid w:val="00216275"/>
    <w:rsid w:val="002163C1"/>
    <w:rsid w:val="0021658B"/>
    <w:rsid w:val="0021659F"/>
    <w:rsid w:val="00216634"/>
    <w:rsid w:val="00216870"/>
    <w:rsid w:val="002168B2"/>
    <w:rsid w:val="002168B4"/>
    <w:rsid w:val="0021699D"/>
    <w:rsid w:val="002169BE"/>
    <w:rsid w:val="00216ED9"/>
    <w:rsid w:val="00216FF0"/>
    <w:rsid w:val="0021758E"/>
    <w:rsid w:val="00217A45"/>
    <w:rsid w:val="00220834"/>
    <w:rsid w:val="002208FB"/>
    <w:rsid w:val="0022097D"/>
    <w:rsid w:val="00220996"/>
    <w:rsid w:val="00220C95"/>
    <w:rsid w:val="002211F1"/>
    <w:rsid w:val="00221230"/>
    <w:rsid w:val="00221601"/>
    <w:rsid w:val="0022170F"/>
    <w:rsid w:val="00221780"/>
    <w:rsid w:val="00221B13"/>
    <w:rsid w:val="00221F60"/>
    <w:rsid w:val="00221F9D"/>
    <w:rsid w:val="0022206A"/>
    <w:rsid w:val="00222324"/>
    <w:rsid w:val="002223B0"/>
    <w:rsid w:val="002223D1"/>
    <w:rsid w:val="002224B8"/>
    <w:rsid w:val="002224C3"/>
    <w:rsid w:val="0022280B"/>
    <w:rsid w:val="00222B64"/>
    <w:rsid w:val="00222D3F"/>
    <w:rsid w:val="00222F14"/>
    <w:rsid w:val="002230A5"/>
    <w:rsid w:val="002235F6"/>
    <w:rsid w:val="00223668"/>
    <w:rsid w:val="00223ACE"/>
    <w:rsid w:val="00223C4B"/>
    <w:rsid w:val="002241EF"/>
    <w:rsid w:val="0022449A"/>
    <w:rsid w:val="002244DD"/>
    <w:rsid w:val="00224DBE"/>
    <w:rsid w:val="00224EAD"/>
    <w:rsid w:val="00224F17"/>
    <w:rsid w:val="002255C6"/>
    <w:rsid w:val="002257A1"/>
    <w:rsid w:val="002259B0"/>
    <w:rsid w:val="00225C8D"/>
    <w:rsid w:val="00225CD6"/>
    <w:rsid w:val="00225EDD"/>
    <w:rsid w:val="002260D8"/>
    <w:rsid w:val="002265B1"/>
    <w:rsid w:val="002269BA"/>
    <w:rsid w:val="00226A1C"/>
    <w:rsid w:val="002270E8"/>
    <w:rsid w:val="002270FE"/>
    <w:rsid w:val="00227330"/>
    <w:rsid w:val="002274E2"/>
    <w:rsid w:val="002274E8"/>
    <w:rsid w:val="002275DC"/>
    <w:rsid w:val="00227897"/>
    <w:rsid w:val="002278D2"/>
    <w:rsid w:val="00227A1F"/>
    <w:rsid w:val="00227A9B"/>
    <w:rsid w:val="0023013F"/>
    <w:rsid w:val="00230198"/>
    <w:rsid w:val="002306B6"/>
    <w:rsid w:val="00231403"/>
    <w:rsid w:val="0023143D"/>
    <w:rsid w:val="00231531"/>
    <w:rsid w:val="0023153D"/>
    <w:rsid w:val="00231554"/>
    <w:rsid w:val="00231D25"/>
    <w:rsid w:val="002323F6"/>
    <w:rsid w:val="0023249A"/>
    <w:rsid w:val="00232A40"/>
    <w:rsid w:val="00232B37"/>
    <w:rsid w:val="00232DBC"/>
    <w:rsid w:val="00232F55"/>
    <w:rsid w:val="00233508"/>
    <w:rsid w:val="00233868"/>
    <w:rsid w:val="002338D0"/>
    <w:rsid w:val="00233A6F"/>
    <w:rsid w:val="00233A7D"/>
    <w:rsid w:val="00233AF6"/>
    <w:rsid w:val="00233F85"/>
    <w:rsid w:val="002343C5"/>
    <w:rsid w:val="002344A8"/>
    <w:rsid w:val="002345F7"/>
    <w:rsid w:val="00235248"/>
    <w:rsid w:val="00235250"/>
    <w:rsid w:val="00235AA7"/>
    <w:rsid w:val="00235ACB"/>
    <w:rsid w:val="0023619C"/>
    <w:rsid w:val="00236246"/>
    <w:rsid w:val="002362FC"/>
    <w:rsid w:val="00236566"/>
    <w:rsid w:val="002366FE"/>
    <w:rsid w:val="00236776"/>
    <w:rsid w:val="00236A54"/>
    <w:rsid w:val="00236B40"/>
    <w:rsid w:val="00236D1D"/>
    <w:rsid w:val="00236D2E"/>
    <w:rsid w:val="002372D2"/>
    <w:rsid w:val="00237698"/>
    <w:rsid w:val="002376A2"/>
    <w:rsid w:val="00237795"/>
    <w:rsid w:val="002377CA"/>
    <w:rsid w:val="00237C86"/>
    <w:rsid w:val="00237CFA"/>
    <w:rsid w:val="002406D0"/>
    <w:rsid w:val="0024079D"/>
    <w:rsid w:val="00240933"/>
    <w:rsid w:val="002409C6"/>
    <w:rsid w:val="00240E4A"/>
    <w:rsid w:val="0024117D"/>
    <w:rsid w:val="002419F6"/>
    <w:rsid w:val="00241AFF"/>
    <w:rsid w:val="00241B66"/>
    <w:rsid w:val="00241D31"/>
    <w:rsid w:val="00241D64"/>
    <w:rsid w:val="00241D72"/>
    <w:rsid w:val="00241F93"/>
    <w:rsid w:val="00242205"/>
    <w:rsid w:val="0024264E"/>
    <w:rsid w:val="002429FF"/>
    <w:rsid w:val="00242B48"/>
    <w:rsid w:val="00242BDB"/>
    <w:rsid w:val="00242FCF"/>
    <w:rsid w:val="0024304C"/>
    <w:rsid w:val="002431DD"/>
    <w:rsid w:val="0024377C"/>
    <w:rsid w:val="00243A95"/>
    <w:rsid w:val="00244144"/>
    <w:rsid w:val="002441FC"/>
    <w:rsid w:val="00244376"/>
    <w:rsid w:val="0024442B"/>
    <w:rsid w:val="00244B13"/>
    <w:rsid w:val="00244C73"/>
    <w:rsid w:val="00244D17"/>
    <w:rsid w:val="00244EE2"/>
    <w:rsid w:val="002456CD"/>
    <w:rsid w:val="00245D2C"/>
    <w:rsid w:val="00245D5F"/>
    <w:rsid w:val="00246020"/>
    <w:rsid w:val="00246354"/>
    <w:rsid w:val="0024674C"/>
    <w:rsid w:val="00246857"/>
    <w:rsid w:val="00246BCC"/>
    <w:rsid w:val="00246DA9"/>
    <w:rsid w:val="00246FEE"/>
    <w:rsid w:val="00247278"/>
    <w:rsid w:val="002478D7"/>
    <w:rsid w:val="002478DC"/>
    <w:rsid w:val="00247966"/>
    <w:rsid w:val="00247CCD"/>
    <w:rsid w:val="00247DB1"/>
    <w:rsid w:val="002501BB"/>
    <w:rsid w:val="00250303"/>
    <w:rsid w:val="002504A7"/>
    <w:rsid w:val="002505FC"/>
    <w:rsid w:val="00250648"/>
    <w:rsid w:val="00250659"/>
    <w:rsid w:val="002507DB"/>
    <w:rsid w:val="00250946"/>
    <w:rsid w:val="0025094C"/>
    <w:rsid w:val="00250FDF"/>
    <w:rsid w:val="002513F5"/>
    <w:rsid w:val="00251727"/>
    <w:rsid w:val="0025197C"/>
    <w:rsid w:val="00251B64"/>
    <w:rsid w:val="00251CF3"/>
    <w:rsid w:val="0025200C"/>
    <w:rsid w:val="002521B8"/>
    <w:rsid w:val="00252A21"/>
    <w:rsid w:val="00252E27"/>
    <w:rsid w:val="002538A5"/>
    <w:rsid w:val="002539A5"/>
    <w:rsid w:val="00253B63"/>
    <w:rsid w:val="00253DBD"/>
    <w:rsid w:val="00253DCD"/>
    <w:rsid w:val="00253DD0"/>
    <w:rsid w:val="00253E2D"/>
    <w:rsid w:val="00254329"/>
    <w:rsid w:val="00254370"/>
    <w:rsid w:val="0025446C"/>
    <w:rsid w:val="002550BB"/>
    <w:rsid w:val="00255146"/>
    <w:rsid w:val="002558CE"/>
    <w:rsid w:val="00255BB5"/>
    <w:rsid w:val="00255C9F"/>
    <w:rsid w:val="00255D18"/>
    <w:rsid w:val="00255EC3"/>
    <w:rsid w:val="0025602D"/>
    <w:rsid w:val="002563A1"/>
    <w:rsid w:val="002564E6"/>
    <w:rsid w:val="00256DFB"/>
    <w:rsid w:val="00256ECE"/>
    <w:rsid w:val="00256FD8"/>
    <w:rsid w:val="00257506"/>
    <w:rsid w:val="00257862"/>
    <w:rsid w:val="0025799A"/>
    <w:rsid w:val="002579F8"/>
    <w:rsid w:val="00260184"/>
    <w:rsid w:val="00260299"/>
    <w:rsid w:val="002602AC"/>
    <w:rsid w:val="002607FE"/>
    <w:rsid w:val="00260F46"/>
    <w:rsid w:val="00260FA4"/>
    <w:rsid w:val="0026123F"/>
    <w:rsid w:val="002612EF"/>
    <w:rsid w:val="00261D47"/>
    <w:rsid w:val="00261E85"/>
    <w:rsid w:val="002621C1"/>
    <w:rsid w:val="002623C3"/>
    <w:rsid w:val="0026280E"/>
    <w:rsid w:val="00262EA1"/>
    <w:rsid w:val="00263044"/>
    <w:rsid w:val="002637D3"/>
    <w:rsid w:val="00263A2C"/>
    <w:rsid w:val="00263B34"/>
    <w:rsid w:val="00263DAB"/>
    <w:rsid w:val="002640ED"/>
    <w:rsid w:val="0026412A"/>
    <w:rsid w:val="002641E7"/>
    <w:rsid w:val="0026428C"/>
    <w:rsid w:val="00264370"/>
    <w:rsid w:val="002646D8"/>
    <w:rsid w:val="0026470C"/>
    <w:rsid w:val="00264845"/>
    <w:rsid w:val="002649A7"/>
    <w:rsid w:val="00264E41"/>
    <w:rsid w:val="00264E99"/>
    <w:rsid w:val="00264EBA"/>
    <w:rsid w:val="002653BE"/>
    <w:rsid w:val="002653FE"/>
    <w:rsid w:val="002659B2"/>
    <w:rsid w:val="00265A53"/>
    <w:rsid w:val="00265AD4"/>
    <w:rsid w:val="00265AEC"/>
    <w:rsid w:val="00265B85"/>
    <w:rsid w:val="00265DEC"/>
    <w:rsid w:val="00266963"/>
    <w:rsid w:val="00266A58"/>
    <w:rsid w:val="00266A7F"/>
    <w:rsid w:val="00266B0C"/>
    <w:rsid w:val="00266E4B"/>
    <w:rsid w:val="00266FA6"/>
    <w:rsid w:val="0026720C"/>
    <w:rsid w:val="0026721C"/>
    <w:rsid w:val="00267454"/>
    <w:rsid w:val="00267763"/>
    <w:rsid w:val="002679B8"/>
    <w:rsid w:val="00267FDE"/>
    <w:rsid w:val="00270069"/>
    <w:rsid w:val="002700F5"/>
    <w:rsid w:val="002707E7"/>
    <w:rsid w:val="00270FD9"/>
    <w:rsid w:val="002718A0"/>
    <w:rsid w:val="00271F6F"/>
    <w:rsid w:val="002725DB"/>
    <w:rsid w:val="00272B4A"/>
    <w:rsid w:val="00272B5D"/>
    <w:rsid w:val="00272B68"/>
    <w:rsid w:val="00272B6E"/>
    <w:rsid w:val="00272C99"/>
    <w:rsid w:val="00272D4D"/>
    <w:rsid w:val="00272EC1"/>
    <w:rsid w:val="00273110"/>
    <w:rsid w:val="00273C8A"/>
    <w:rsid w:val="00273D07"/>
    <w:rsid w:val="00273DE6"/>
    <w:rsid w:val="0027435B"/>
    <w:rsid w:val="002744C5"/>
    <w:rsid w:val="00274869"/>
    <w:rsid w:val="0027495D"/>
    <w:rsid w:val="002749C8"/>
    <w:rsid w:val="00274C6D"/>
    <w:rsid w:val="00274DC0"/>
    <w:rsid w:val="00274FAA"/>
    <w:rsid w:val="00275067"/>
    <w:rsid w:val="002750BA"/>
    <w:rsid w:val="00275265"/>
    <w:rsid w:val="002753D8"/>
    <w:rsid w:val="002755E2"/>
    <w:rsid w:val="00275815"/>
    <w:rsid w:val="00275A78"/>
    <w:rsid w:val="00276067"/>
    <w:rsid w:val="0027612B"/>
    <w:rsid w:val="00276188"/>
    <w:rsid w:val="0027636D"/>
    <w:rsid w:val="002763A1"/>
    <w:rsid w:val="002763CC"/>
    <w:rsid w:val="002763F0"/>
    <w:rsid w:val="00276C18"/>
    <w:rsid w:val="00276C9A"/>
    <w:rsid w:val="00276D84"/>
    <w:rsid w:val="00276DB8"/>
    <w:rsid w:val="00276DE2"/>
    <w:rsid w:val="002770ED"/>
    <w:rsid w:val="00277596"/>
    <w:rsid w:val="002777AE"/>
    <w:rsid w:val="00277A1F"/>
    <w:rsid w:val="00277BF7"/>
    <w:rsid w:val="00277F0F"/>
    <w:rsid w:val="00277FC4"/>
    <w:rsid w:val="0028003A"/>
    <w:rsid w:val="00280411"/>
    <w:rsid w:val="00280CE0"/>
    <w:rsid w:val="00280EF5"/>
    <w:rsid w:val="002810D2"/>
    <w:rsid w:val="0028122E"/>
    <w:rsid w:val="0028124D"/>
    <w:rsid w:val="00281729"/>
    <w:rsid w:val="00281927"/>
    <w:rsid w:val="00281AC1"/>
    <w:rsid w:val="00281C68"/>
    <w:rsid w:val="002820DE"/>
    <w:rsid w:val="0028240E"/>
    <w:rsid w:val="0028249E"/>
    <w:rsid w:val="002827D0"/>
    <w:rsid w:val="00282870"/>
    <w:rsid w:val="00282A39"/>
    <w:rsid w:val="00282AED"/>
    <w:rsid w:val="00282CB0"/>
    <w:rsid w:val="00282D7C"/>
    <w:rsid w:val="00282D8C"/>
    <w:rsid w:val="00282DE0"/>
    <w:rsid w:val="002837F8"/>
    <w:rsid w:val="00283919"/>
    <w:rsid w:val="00283C25"/>
    <w:rsid w:val="00283CAD"/>
    <w:rsid w:val="00283DF7"/>
    <w:rsid w:val="00283E0B"/>
    <w:rsid w:val="00283E7E"/>
    <w:rsid w:val="0028418A"/>
    <w:rsid w:val="002843C4"/>
    <w:rsid w:val="002843EA"/>
    <w:rsid w:val="0028456B"/>
    <w:rsid w:val="00284AD6"/>
    <w:rsid w:val="00284D7E"/>
    <w:rsid w:val="00284EF1"/>
    <w:rsid w:val="002850AE"/>
    <w:rsid w:val="002853D5"/>
    <w:rsid w:val="002855B5"/>
    <w:rsid w:val="00285A30"/>
    <w:rsid w:val="00285DD4"/>
    <w:rsid w:val="00285F35"/>
    <w:rsid w:val="0028681F"/>
    <w:rsid w:val="00286CFA"/>
    <w:rsid w:val="00287306"/>
    <w:rsid w:val="002873C4"/>
    <w:rsid w:val="002879A4"/>
    <w:rsid w:val="00287C46"/>
    <w:rsid w:val="00290096"/>
    <w:rsid w:val="0029026E"/>
    <w:rsid w:val="002902F8"/>
    <w:rsid w:val="0029075D"/>
    <w:rsid w:val="00290806"/>
    <w:rsid w:val="002908B8"/>
    <w:rsid w:val="0029091F"/>
    <w:rsid w:val="00290A2B"/>
    <w:rsid w:val="00290AAC"/>
    <w:rsid w:val="00290BFA"/>
    <w:rsid w:val="00290C00"/>
    <w:rsid w:val="00290F6F"/>
    <w:rsid w:val="00291074"/>
    <w:rsid w:val="00291174"/>
    <w:rsid w:val="002912F6"/>
    <w:rsid w:val="00291AFB"/>
    <w:rsid w:val="00291BB4"/>
    <w:rsid w:val="00291C37"/>
    <w:rsid w:val="00291DB1"/>
    <w:rsid w:val="00291F2B"/>
    <w:rsid w:val="00291F58"/>
    <w:rsid w:val="00292044"/>
    <w:rsid w:val="00292227"/>
    <w:rsid w:val="002925F7"/>
    <w:rsid w:val="00292A0B"/>
    <w:rsid w:val="00292E8E"/>
    <w:rsid w:val="00292EEA"/>
    <w:rsid w:val="00292F81"/>
    <w:rsid w:val="00293158"/>
    <w:rsid w:val="0029318D"/>
    <w:rsid w:val="00293440"/>
    <w:rsid w:val="00293480"/>
    <w:rsid w:val="00293611"/>
    <w:rsid w:val="00293CEB"/>
    <w:rsid w:val="00293D75"/>
    <w:rsid w:val="00293F41"/>
    <w:rsid w:val="0029404A"/>
    <w:rsid w:val="0029408E"/>
    <w:rsid w:val="0029414E"/>
    <w:rsid w:val="00294424"/>
    <w:rsid w:val="00294A48"/>
    <w:rsid w:val="00294ABB"/>
    <w:rsid w:val="00294C5D"/>
    <w:rsid w:val="002952A4"/>
    <w:rsid w:val="002952CB"/>
    <w:rsid w:val="00295646"/>
    <w:rsid w:val="00295C92"/>
    <w:rsid w:val="00295CC3"/>
    <w:rsid w:val="00296316"/>
    <w:rsid w:val="002966A9"/>
    <w:rsid w:val="002966F3"/>
    <w:rsid w:val="002967A0"/>
    <w:rsid w:val="002968EC"/>
    <w:rsid w:val="00296971"/>
    <w:rsid w:val="00296BCA"/>
    <w:rsid w:val="00296DC2"/>
    <w:rsid w:val="0029731A"/>
    <w:rsid w:val="002973CB"/>
    <w:rsid w:val="0029754F"/>
    <w:rsid w:val="00297634"/>
    <w:rsid w:val="0029767A"/>
    <w:rsid w:val="002976F6"/>
    <w:rsid w:val="0029772E"/>
    <w:rsid w:val="0029785F"/>
    <w:rsid w:val="00297BEA"/>
    <w:rsid w:val="00297EE3"/>
    <w:rsid w:val="002A02E3"/>
    <w:rsid w:val="002A0560"/>
    <w:rsid w:val="002A07FB"/>
    <w:rsid w:val="002A0877"/>
    <w:rsid w:val="002A09B7"/>
    <w:rsid w:val="002A0B8D"/>
    <w:rsid w:val="002A0C1F"/>
    <w:rsid w:val="002A125A"/>
    <w:rsid w:val="002A16EC"/>
    <w:rsid w:val="002A1D90"/>
    <w:rsid w:val="002A20BC"/>
    <w:rsid w:val="002A236D"/>
    <w:rsid w:val="002A25DC"/>
    <w:rsid w:val="002A261D"/>
    <w:rsid w:val="002A27DD"/>
    <w:rsid w:val="002A28FB"/>
    <w:rsid w:val="002A2DA8"/>
    <w:rsid w:val="002A2E1D"/>
    <w:rsid w:val="002A32D7"/>
    <w:rsid w:val="002A332D"/>
    <w:rsid w:val="002A3787"/>
    <w:rsid w:val="002A3B20"/>
    <w:rsid w:val="002A3C77"/>
    <w:rsid w:val="002A3CF3"/>
    <w:rsid w:val="002A3D1D"/>
    <w:rsid w:val="002A3D78"/>
    <w:rsid w:val="002A3E69"/>
    <w:rsid w:val="002A4008"/>
    <w:rsid w:val="002A40CB"/>
    <w:rsid w:val="002A4569"/>
    <w:rsid w:val="002A473C"/>
    <w:rsid w:val="002A49E6"/>
    <w:rsid w:val="002A4A6D"/>
    <w:rsid w:val="002A4E1F"/>
    <w:rsid w:val="002A515C"/>
    <w:rsid w:val="002A530C"/>
    <w:rsid w:val="002A588A"/>
    <w:rsid w:val="002A58A4"/>
    <w:rsid w:val="002A5F60"/>
    <w:rsid w:val="002A6127"/>
    <w:rsid w:val="002A61B1"/>
    <w:rsid w:val="002A65C1"/>
    <w:rsid w:val="002A675D"/>
    <w:rsid w:val="002A6991"/>
    <w:rsid w:val="002A6E57"/>
    <w:rsid w:val="002A6FCE"/>
    <w:rsid w:val="002A7001"/>
    <w:rsid w:val="002A72D1"/>
    <w:rsid w:val="002A746C"/>
    <w:rsid w:val="002A75A0"/>
    <w:rsid w:val="002A7CE5"/>
    <w:rsid w:val="002B001D"/>
    <w:rsid w:val="002B02D8"/>
    <w:rsid w:val="002B0826"/>
    <w:rsid w:val="002B0A81"/>
    <w:rsid w:val="002B0AB6"/>
    <w:rsid w:val="002B0C89"/>
    <w:rsid w:val="002B0D90"/>
    <w:rsid w:val="002B1540"/>
    <w:rsid w:val="002B1726"/>
    <w:rsid w:val="002B1731"/>
    <w:rsid w:val="002B19F5"/>
    <w:rsid w:val="002B1A5B"/>
    <w:rsid w:val="002B1AB3"/>
    <w:rsid w:val="002B1ACF"/>
    <w:rsid w:val="002B1B3F"/>
    <w:rsid w:val="002B1B4F"/>
    <w:rsid w:val="002B1BD2"/>
    <w:rsid w:val="002B1E3A"/>
    <w:rsid w:val="002B1F63"/>
    <w:rsid w:val="002B2B07"/>
    <w:rsid w:val="002B2B6C"/>
    <w:rsid w:val="002B2BB8"/>
    <w:rsid w:val="002B2CDE"/>
    <w:rsid w:val="002B2E9C"/>
    <w:rsid w:val="002B2EFA"/>
    <w:rsid w:val="002B2F19"/>
    <w:rsid w:val="002B3501"/>
    <w:rsid w:val="002B3698"/>
    <w:rsid w:val="002B39C6"/>
    <w:rsid w:val="002B3A2F"/>
    <w:rsid w:val="002B3BC8"/>
    <w:rsid w:val="002B3F23"/>
    <w:rsid w:val="002B40B4"/>
    <w:rsid w:val="002B42C3"/>
    <w:rsid w:val="002B48DC"/>
    <w:rsid w:val="002B492C"/>
    <w:rsid w:val="002B49C1"/>
    <w:rsid w:val="002B4BD6"/>
    <w:rsid w:val="002B4BD9"/>
    <w:rsid w:val="002B4E6D"/>
    <w:rsid w:val="002B510D"/>
    <w:rsid w:val="002B53CA"/>
    <w:rsid w:val="002B53D4"/>
    <w:rsid w:val="002B5715"/>
    <w:rsid w:val="002B57C1"/>
    <w:rsid w:val="002B584D"/>
    <w:rsid w:val="002B59F1"/>
    <w:rsid w:val="002B62EC"/>
    <w:rsid w:val="002B6605"/>
    <w:rsid w:val="002B664B"/>
    <w:rsid w:val="002B6663"/>
    <w:rsid w:val="002B6A2F"/>
    <w:rsid w:val="002B6B53"/>
    <w:rsid w:val="002B709A"/>
    <w:rsid w:val="002B747C"/>
    <w:rsid w:val="002B79ED"/>
    <w:rsid w:val="002B7C3D"/>
    <w:rsid w:val="002B7F8C"/>
    <w:rsid w:val="002C006E"/>
    <w:rsid w:val="002C050E"/>
    <w:rsid w:val="002C0FD5"/>
    <w:rsid w:val="002C1148"/>
    <w:rsid w:val="002C12CB"/>
    <w:rsid w:val="002C1316"/>
    <w:rsid w:val="002C153F"/>
    <w:rsid w:val="002C16B5"/>
    <w:rsid w:val="002C1CF2"/>
    <w:rsid w:val="002C1D76"/>
    <w:rsid w:val="002C1E39"/>
    <w:rsid w:val="002C1E9C"/>
    <w:rsid w:val="002C2475"/>
    <w:rsid w:val="002C2549"/>
    <w:rsid w:val="002C264B"/>
    <w:rsid w:val="002C281E"/>
    <w:rsid w:val="002C2B90"/>
    <w:rsid w:val="002C359A"/>
    <w:rsid w:val="002C36DC"/>
    <w:rsid w:val="002C3A1E"/>
    <w:rsid w:val="002C3A68"/>
    <w:rsid w:val="002C3C6E"/>
    <w:rsid w:val="002C3D83"/>
    <w:rsid w:val="002C43FF"/>
    <w:rsid w:val="002C4C63"/>
    <w:rsid w:val="002C4F2F"/>
    <w:rsid w:val="002C51F7"/>
    <w:rsid w:val="002C52F4"/>
    <w:rsid w:val="002C552A"/>
    <w:rsid w:val="002C5CEF"/>
    <w:rsid w:val="002C5E1C"/>
    <w:rsid w:val="002C60E5"/>
    <w:rsid w:val="002C64AA"/>
    <w:rsid w:val="002C690A"/>
    <w:rsid w:val="002C704E"/>
    <w:rsid w:val="002C75A5"/>
    <w:rsid w:val="002C77F1"/>
    <w:rsid w:val="002C7896"/>
    <w:rsid w:val="002C789C"/>
    <w:rsid w:val="002C7AA7"/>
    <w:rsid w:val="002C7DF5"/>
    <w:rsid w:val="002D00B5"/>
    <w:rsid w:val="002D00DD"/>
    <w:rsid w:val="002D016C"/>
    <w:rsid w:val="002D041F"/>
    <w:rsid w:val="002D06D9"/>
    <w:rsid w:val="002D0DD6"/>
    <w:rsid w:val="002D15BE"/>
    <w:rsid w:val="002D1924"/>
    <w:rsid w:val="002D1CB1"/>
    <w:rsid w:val="002D1F44"/>
    <w:rsid w:val="002D20EF"/>
    <w:rsid w:val="002D253D"/>
    <w:rsid w:val="002D2549"/>
    <w:rsid w:val="002D286E"/>
    <w:rsid w:val="002D2EAB"/>
    <w:rsid w:val="002D3084"/>
    <w:rsid w:val="002D30F6"/>
    <w:rsid w:val="002D3496"/>
    <w:rsid w:val="002D37D8"/>
    <w:rsid w:val="002D3846"/>
    <w:rsid w:val="002D3ADA"/>
    <w:rsid w:val="002D404A"/>
    <w:rsid w:val="002D436A"/>
    <w:rsid w:val="002D4807"/>
    <w:rsid w:val="002D487F"/>
    <w:rsid w:val="002D48F2"/>
    <w:rsid w:val="002D4BCC"/>
    <w:rsid w:val="002D50B8"/>
    <w:rsid w:val="002D5167"/>
    <w:rsid w:val="002D53E5"/>
    <w:rsid w:val="002D54B2"/>
    <w:rsid w:val="002D556D"/>
    <w:rsid w:val="002D5774"/>
    <w:rsid w:val="002D5D8F"/>
    <w:rsid w:val="002D5FFC"/>
    <w:rsid w:val="002D6091"/>
    <w:rsid w:val="002D6096"/>
    <w:rsid w:val="002D6577"/>
    <w:rsid w:val="002D675E"/>
    <w:rsid w:val="002D6A60"/>
    <w:rsid w:val="002D6B73"/>
    <w:rsid w:val="002D709E"/>
    <w:rsid w:val="002D721C"/>
    <w:rsid w:val="002D746D"/>
    <w:rsid w:val="002D797D"/>
    <w:rsid w:val="002E0029"/>
    <w:rsid w:val="002E00BC"/>
    <w:rsid w:val="002E0275"/>
    <w:rsid w:val="002E0708"/>
    <w:rsid w:val="002E09B4"/>
    <w:rsid w:val="002E101F"/>
    <w:rsid w:val="002E1570"/>
    <w:rsid w:val="002E17EC"/>
    <w:rsid w:val="002E180A"/>
    <w:rsid w:val="002E18C4"/>
    <w:rsid w:val="002E1CFA"/>
    <w:rsid w:val="002E1F51"/>
    <w:rsid w:val="002E20FA"/>
    <w:rsid w:val="002E21EB"/>
    <w:rsid w:val="002E2392"/>
    <w:rsid w:val="002E28C2"/>
    <w:rsid w:val="002E2B09"/>
    <w:rsid w:val="002E2EE2"/>
    <w:rsid w:val="002E3229"/>
    <w:rsid w:val="002E32C1"/>
    <w:rsid w:val="002E3638"/>
    <w:rsid w:val="002E367C"/>
    <w:rsid w:val="002E3A6F"/>
    <w:rsid w:val="002E3FCB"/>
    <w:rsid w:val="002E4384"/>
    <w:rsid w:val="002E44D7"/>
    <w:rsid w:val="002E477C"/>
    <w:rsid w:val="002E4964"/>
    <w:rsid w:val="002E4C1B"/>
    <w:rsid w:val="002E4F4C"/>
    <w:rsid w:val="002E502F"/>
    <w:rsid w:val="002E507C"/>
    <w:rsid w:val="002E513E"/>
    <w:rsid w:val="002E6090"/>
    <w:rsid w:val="002E6239"/>
    <w:rsid w:val="002E62EB"/>
    <w:rsid w:val="002E66F3"/>
    <w:rsid w:val="002E695A"/>
    <w:rsid w:val="002E69ED"/>
    <w:rsid w:val="002E6A22"/>
    <w:rsid w:val="002E6CC1"/>
    <w:rsid w:val="002E6EBA"/>
    <w:rsid w:val="002E7060"/>
    <w:rsid w:val="002E70CA"/>
    <w:rsid w:val="002E7247"/>
    <w:rsid w:val="002E732C"/>
    <w:rsid w:val="002E74CC"/>
    <w:rsid w:val="002E75CE"/>
    <w:rsid w:val="002E7645"/>
    <w:rsid w:val="002E7B2E"/>
    <w:rsid w:val="002E7C94"/>
    <w:rsid w:val="002E7F34"/>
    <w:rsid w:val="002E7FD4"/>
    <w:rsid w:val="002F0414"/>
    <w:rsid w:val="002F0743"/>
    <w:rsid w:val="002F0867"/>
    <w:rsid w:val="002F098A"/>
    <w:rsid w:val="002F0B1A"/>
    <w:rsid w:val="002F0CA2"/>
    <w:rsid w:val="002F0DA6"/>
    <w:rsid w:val="002F0FEB"/>
    <w:rsid w:val="002F1023"/>
    <w:rsid w:val="002F1209"/>
    <w:rsid w:val="002F1215"/>
    <w:rsid w:val="002F15B4"/>
    <w:rsid w:val="002F16D9"/>
    <w:rsid w:val="002F17C2"/>
    <w:rsid w:val="002F190F"/>
    <w:rsid w:val="002F196D"/>
    <w:rsid w:val="002F1A20"/>
    <w:rsid w:val="002F212D"/>
    <w:rsid w:val="002F2215"/>
    <w:rsid w:val="002F22EC"/>
    <w:rsid w:val="002F25C7"/>
    <w:rsid w:val="002F2A8E"/>
    <w:rsid w:val="002F2B02"/>
    <w:rsid w:val="002F2F54"/>
    <w:rsid w:val="002F3156"/>
    <w:rsid w:val="002F32CE"/>
    <w:rsid w:val="002F3361"/>
    <w:rsid w:val="002F3B72"/>
    <w:rsid w:val="002F3E5F"/>
    <w:rsid w:val="002F3EA6"/>
    <w:rsid w:val="002F3F68"/>
    <w:rsid w:val="002F4037"/>
    <w:rsid w:val="002F4189"/>
    <w:rsid w:val="002F470A"/>
    <w:rsid w:val="002F4720"/>
    <w:rsid w:val="002F5041"/>
    <w:rsid w:val="002F522D"/>
    <w:rsid w:val="002F5723"/>
    <w:rsid w:val="002F5821"/>
    <w:rsid w:val="002F5A1B"/>
    <w:rsid w:val="002F5A3E"/>
    <w:rsid w:val="002F5E06"/>
    <w:rsid w:val="002F5F64"/>
    <w:rsid w:val="002F6400"/>
    <w:rsid w:val="002F645C"/>
    <w:rsid w:val="002F6629"/>
    <w:rsid w:val="002F6658"/>
    <w:rsid w:val="002F679F"/>
    <w:rsid w:val="002F6A55"/>
    <w:rsid w:val="002F6C49"/>
    <w:rsid w:val="002F6E32"/>
    <w:rsid w:val="002F729A"/>
    <w:rsid w:val="002F7EBA"/>
    <w:rsid w:val="002F7F70"/>
    <w:rsid w:val="0030005A"/>
    <w:rsid w:val="003001C4"/>
    <w:rsid w:val="0030025B"/>
    <w:rsid w:val="00300282"/>
    <w:rsid w:val="00300468"/>
    <w:rsid w:val="0030088D"/>
    <w:rsid w:val="00300C33"/>
    <w:rsid w:val="003010E1"/>
    <w:rsid w:val="00301B82"/>
    <w:rsid w:val="00301D16"/>
    <w:rsid w:val="00301D99"/>
    <w:rsid w:val="0030252C"/>
    <w:rsid w:val="00302646"/>
    <w:rsid w:val="00302898"/>
    <w:rsid w:val="00302DEC"/>
    <w:rsid w:val="003030CB"/>
    <w:rsid w:val="00303198"/>
    <w:rsid w:val="0030330B"/>
    <w:rsid w:val="0030333A"/>
    <w:rsid w:val="00303439"/>
    <w:rsid w:val="00303954"/>
    <w:rsid w:val="00303B0B"/>
    <w:rsid w:val="00303BBE"/>
    <w:rsid w:val="00303C4E"/>
    <w:rsid w:val="00303C76"/>
    <w:rsid w:val="00303DD1"/>
    <w:rsid w:val="00303EDB"/>
    <w:rsid w:val="00304040"/>
    <w:rsid w:val="0030433D"/>
    <w:rsid w:val="00304588"/>
    <w:rsid w:val="0030459D"/>
    <w:rsid w:val="00304694"/>
    <w:rsid w:val="00304932"/>
    <w:rsid w:val="00304CFA"/>
    <w:rsid w:val="003053D1"/>
    <w:rsid w:val="00305672"/>
    <w:rsid w:val="003057A2"/>
    <w:rsid w:val="00305B2F"/>
    <w:rsid w:val="00305B71"/>
    <w:rsid w:val="00305D84"/>
    <w:rsid w:val="00305DFF"/>
    <w:rsid w:val="00305E8B"/>
    <w:rsid w:val="00305F72"/>
    <w:rsid w:val="00306439"/>
    <w:rsid w:val="00306486"/>
    <w:rsid w:val="00306725"/>
    <w:rsid w:val="003067FD"/>
    <w:rsid w:val="003068CA"/>
    <w:rsid w:val="0030697C"/>
    <w:rsid w:val="00306CA1"/>
    <w:rsid w:val="00306CAA"/>
    <w:rsid w:val="00306D92"/>
    <w:rsid w:val="00307181"/>
    <w:rsid w:val="00307361"/>
    <w:rsid w:val="0030753B"/>
    <w:rsid w:val="003077BE"/>
    <w:rsid w:val="003077F6"/>
    <w:rsid w:val="003078CB"/>
    <w:rsid w:val="003079D9"/>
    <w:rsid w:val="00307D0B"/>
    <w:rsid w:val="00307EBE"/>
    <w:rsid w:val="00310102"/>
    <w:rsid w:val="0031097B"/>
    <w:rsid w:val="00310FAC"/>
    <w:rsid w:val="00311172"/>
    <w:rsid w:val="0031136C"/>
    <w:rsid w:val="003118A4"/>
    <w:rsid w:val="00311A02"/>
    <w:rsid w:val="00311B0B"/>
    <w:rsid w:val="00311B4A"/>
    <w:rsid w:val="00311BA2"/>
    <w:rsid w:val="00311BFF"/>
    <w:rsid w:val="00311D01"/>
    <w:rsid w:val="00311DC3"/>
    <w:rsid w:val="00311EEA"/>
    <w:rsid w:val="00311F58"/>
    <w:rsid w:val="003122F8"/>
    <w:rsid w:val="003123ED"/>
    <w:rsid w:val="00312446"/>
    <w:rsid w:val="003125C5"/>
    <w:rsid w:val="00312630"/>
    <w:rsid w:val="003128E7"/>
    <w:rsid w:val="003129AB"/>
    <w:rsid w:val="00312B27"/>
    <w:rsid w:val="00312C07"/>
    <w:rsid w:val="00313180"/>
    <w:rsid w:val="003132D2"/>
    <w:rsid w:val="00313364"/>
    <w:rsid w:val="00313585"/>
    <w:rsid w:val="00313694"/>
    <w:rsid w:val="00313BFC"/>
    <w:rsid w:val="00314001"/>
    <w:rsid w:val="00314054"/>
    <w:rsid w:val="003147B1"/>
    <w:rsid w:val="003147B8"/>
    <w:rsid w:val="00314FFE"/>
    <w:rsid w:val="00315048"/>
    <w:rsid w:val="003151B8"/>
    <w:rsid w:val="00315494"/>
    <w:rsid w:val="0031599A"/>
    <w:rsid w:val="00316109"/>
    <w:rsid w:val="0031613E"/>
    <w:rsid w:val="00316B0E"/>
    <w:rsid w:val="00316CFF"/>
    <w:rsid w:val="00316DA7"/>
    <w:rsid w:val="00316ED4"/>
    <w:rsid w:val="00316F22"/>
    <w:rsid w:val="003170C8"/>
    <w:rsid w:val="00317306"/>
    <w:rsid w:val="00317496"/>
    <w:rsid w:val="003174B0"/>
    <w:rsid w:val="00317509"/>
    <w:rsid w:val="003176BC"/>
    <w:rsid w:val="003177D1"/>
    <w:rsid w:val="00317B88"/>
    <w:rsid w:val="00317D4F"/>
    <w:rsid w:val="00320136"/>
    <w:rsid w:val="0032042D"/>
    <w:rsid w:val="003204FE"/>
    <w:rsid w:val="00320702"/>
    <w:rsid w:val="00320D42"/>
    <w:rsid w:val="00320F2A"/>
    <w:rsid w:val="00320F30"/>
    <w:rsid w:val="00320FB2"/>
    <w:rsid w:val="0032108A"/>
    <w:rsid w:val="003215DF"/>
    <w:rsid w:val="003216BA"/>
    <w:rsid w:val="003216F6"/>
    <w:rsid w:val="003217F7"/>
    <w:rsid w:val="00321844"/>
    <w:rsid w:val="003218EF"/>
    <w:rsid w:val="00321E93"/>
    <w:rsid w:val="003221D8"/>
    <w:rsid w:val="00322634"/>
    <w:rsid w:val="003226F6"/>
    <w:rsid w:val="0032279F"/>
    <w:rsid w:val="0032286D"/>
    <w:rsid w:val="00322A81"/>
    <w:rsid w:val="00322AD0"/>
    <w:rsid w:val="00322F25"/>
    <w:rsid w:val="003231A2"/>
    <w:rsid w:val="00323388"/>
    <w:rsid w:val="00323522"/>
    <w:rsid w:val="00323614"/>
    <w:rsid w:val="003237A3"/>
    <w:rsid w:val="00323810"/>
    <w:rsid w:val="003239D5"/>
    <w:rsid w:val="00323C3E"/>
    <w:rsid w:val="003240EE"/>
    <w:rsid w:val="00324172"/>
    <w:rsid w:val="00324642"/>
    <w:rsid w:val="00324781"/>
    <w:rsid w:val="00324864"/>
    <w:rsid w:val="003248C6"/>
    <w:rsid w:val="00324CFF"/>
    <w:rsid w:val="00324D77"/>
    <w:rsid w:val="00325B09"/>
    <w:rsid w:val="00325D2B"/>
    <w:rsid w:val="00325DA4"/>
    <w:rsid w:val="00325E09"/>
    <w:rsid w:val="00325F21"/>
    <w:rsid w:val="00325F70"/>
    <w:rsid w:val="003260FE"/>
    <w:rsid w:val="00326114"/>
    <w:rsid w:val="00326285"/>
    <w:rsid w:val="0032629E"/>
    <w:rsid w:val="0032671B"/>
    <w:rsid w:val="0032696A"/>
    <w:rsid w:val="00327007"/>
    <w:rsid w:val="003270F7"/>
    <w:rsid w:val="00327870"/>
    <w:rsid w:val="00327886"/>
    <w:rsid w:val="00327C00"/>
    <w:rsid w:val="00327C7F"/>
    <w:rsid w:val="00327D57"/>
    <w:rsid w:val="00327E1B"/>
    <w:rsid w:val="003301E6"/>
    <w:rsid w:val="0033025C"/>
    <w:rsid w:val="003305F6"/>
    <w:rsid w:val="00330689"/>
    <w:rsid w:val="00330D08"/>
    <w:rsid w:val="00330E0A"/>
    <w:rsid w:val="003312BF"/>
    <w:rsid w:val="0033199D"/>
    <w:rsid w:val="00331A2E"/>
    <w:rsid w:val="00331CB8"/>
    <w:rsid w:val="00332021"/>
    <w:rsid w:val="00332405"/>
    <w:rsid w:val="0033251F"/>
    <w:rsid w:val="0033258E"/>
    <w:rsid w:val="003327D3"/>
    <w:rsid w:val="003327DE"/>
    <w:rsid w:val="003328EC"/>
    <w:rsid w:val="00332A29"/>
    <w:rsid w:val="00332E65"/>
    <w:rsid w:val="00333082"/>
    <w:rsid w:val="00333332"/>
    <w:rsid w:val="003333F0"/>
    <w:rsid w:val="003336D3"/>
    <w:rsid w:val="00333AC3"/>
    <w:rsid w:val="00333B0A"/>
    <w:rsid w:val="00333B5D"/>
    <w:rsid w:val="00333B71"/>
    <w:rsid w:val="00333DA5"/>
    <w:rsid w:val="0033424A"/>
    <w:rsid w:val="0033465B"/>
    <w:rsid w:val="00334C0D"/>
    <w:rsid w:val="00334CC5"/>
    <w:rsid w:val="00334DEB"/>
    <w:rsid w:val="00334EEB"/>
    <w:rsid w:val="00334F7C"/>
    <w:rsid w:val="00335560"/>
    <w:rsid w:val="00335819"/>
    <w:rsid w:val="00335A60"/>
    <w:rsid w:val="00335D4C"/>
    <w:rsid w:val="00335FD4"/>
    <w:rsid w:val="00335FFE"/>
    <w:rsid w:val="00336020"/>
    <w:rsid w:val="00336064"/>
    <w:rsid w:val="00336404"/>
    <w:rsid w:val="003368AB"/>
    <w:rsid w:val="003368C6"/>
    <w:rsid w:val="00336DA2"/>
    <w:rsid w:val="00337203"/>
    <w:rsid w:val="003372AD"/>
    <w:rsid w:val="003373BC"/>
    <w:rsid w:val="00337504"/>
    <w:rsid w:val="00337838"/>
    <w:rsid w:val="00337974"/>
    <w:rsid w:val="00337AA3"/>
    <w:rsid w:val="0034056E"/>
    <w:rsid w:val="00340B7C"/>
    <w:rsid w:val="003410F2"/>
    <w:rsid w:val="00341218"/>
    <w:rsid w:val="0034126D"/>
    <w:rsid w:val="003413EB"/>
    <w:rsid w:val="0034169C"/>
    <w:rsid w:val="00341FB2"/>
    <w:rsid w:val="003421AD"/>
    <w:rsid w:val="00342357"/>
    <w:rsid w:val="003424B7"/>
    <w:rsid w:val="003425B8"/>
    <w:rsid w:val="00342B04"/>
    <w:rsid w:val="00343091"/>
    <w:rsid w:val="0034351A"/>
    <w:rsid w:val="00343920"/>
    <w:rsid w:val="00343F20"/>
    <w:rsid w:val="003441B8"/>
    <w:rsid w:val="0034420D"/>
    <w:rsid w:val="003444D8"/>
    <w:rsid w:val="00344543"/>
    <w:rsid w:val="00344784"/>
    <w:rsid w:val="003447BE"/>
    <w:rsid w:val="003448CC"/>
    <w:rsid w:val="00344A43"/>
    <w:rsid w:val="00344DC1"/>
    <w:rsid w:val="00344E94"/>
    <w:rsid w:val="00344EA8"/>
    <w:rsid w:val="00345015"/>
    <w:rsid w:val="00345068"/>
    <w:rsid w:val="00345232"/>
    <w:rsid w:val="0034534C"/>
    <w:rsid w:val="00345502"/>
    <w:rsid w:val="0034567B"/>
    <w:rsid w:val="00345A64"/>
    <w:rsid w:val="003460BD"/>
    <w:rsid w:val="00346387"/>
    <w:rsid w:val="00346760"/>
    <w:rsid w:val="00346CFB"/>
    <w:rsid w:val="00346FD0"/>
    <w:rsid w:val="00347051"/>
    <w:rsid w:val="00347086"/>
    <w:rsid w:val="0034715F"/>
    <w:rsid w:val="0034770E"/>
    <w:rsid w:val="00347942"/>
    <w:rsid w:val="00347B39"/>
    <w:rsid w:val="00347DE8"/>
    <w:rsid w:val="003500EE"/>
    <w:rsid w:val="00350177"/>
    <w:rsid w:val="003505E7"/>
    <w:rsid w:val="00350C09"/>
    <w:rsid w:val="00350D93"/>
    <w:rsid w:val="00351043"/>
    <w:rsid w:val="003512F0"/>
    <w:rsid w:val="00351938"/>
    <w:rsid w:val="00351B6C"/>
    <w:rsid w:val="00351C66"/>
    <w:rsid w:val="0035227B"/>
    <w:rsid w:val="00352A27"/>
    <w:rsid w:val="00352A5A"/>
    <w:rsid w:val="00352DCA"/>
    <w:rsid w:val="00352DCB"/>
    <w:rsid w:val="00353516"/>
    <w:rsid w:val="00353CEB"/>
    <w:rsid w:val="00354087"/>
    <w:rsid w:val="0035450C"/>
    <w:rsid w:val="0035492D"/>
    <w:rsid w:val="00354B93"/>
    <w:rsid w:val="00354C3A"/>
    <w:rsid w:val="00354F8F"/>
    <w:rsid w:val="0035511A"/>
    <w:rsid w:val="0035554F"/>
    <w:rsid w:val="003555CE"/>
    <w:rsid w:val="003556E6"/>
    <w:rsid w:val="0035573F"/>
    <w:rsid w:val="0035578C"/>
    <w:rsid w:val="00355893"/>
    <w:rsid w:val="0035598D"/>
    <w:rsid w:val="00355C03"/>
    <w:rsid w:val="00355C47"/>
    <w:rsid w:val="00355E41"/>
    <w:rsid w:val="00355E5B"/>
    <w:rsid w:val="00355E61"/>
    <w:rsid w:val="003564F0"/>
    <w:rsid w:val="00356DE3"/>
    <w:rsid w:val="00356FC4"/>
    <w:rsid w:val="003571DD"/>
    <w:rsid w:val="00357373"/>
    <w:rsid w:val="0035751C"/>
    <w:rsid w:val="00357703"/>
    <w:rsid w:val="0035786A"/>
    <w:rsid w:val="00357890"/>
    <w:rsid w:val="00357963"/>
    <w:rsid w:val="003579D7"/>
    <w:rsid w:val="00357A55"/>
    <w:rsid w:val="00357A8D"/>
    <w:rsid w:val="00357EEE"/>
    <w:rsid w:val="00357F3F"/>
    <w:rsid w:val="0036016A"/>
    <w:rsid w:val="003602E0"/>
    <w:rsid w:val="003604CA"/>
    <w:rsid w:val="0036056A"/>
    <w:rsid w:val="00360727"/>
    <w:rsid w:val="003608D6"/>
    <w:rsid w:val="00360D9F"/>
    <w:rsid w:val="00360EAD"/>
    <w:rsid w:val="00360EAE"/>
    <w:rsid w:val="00361085"/>
    <w:rsid w:val="00361442"/>
    <w:rsid w:val="003616A1"/>
    <w:rsid w:val="00361938"/>
    <w:rsid w:val="00361970"/>
    <w:rsid w:val="00361C8D"/>
    <w:rsid w:val="00361FA5"/>
    <w:rsid w:val="00362418"/>
    <w:rsid w:val="0036247F"/>
    <w:rsid w:val="003626BD"/>
    <w:rsid w:val="00362B76"/>
    <w:rsid w:val="00362BD6"/>
    <w:rsid w:val="00362E4E"/>
    <w:rsid w:val="00362E6F"/>
    <w:rsid w:val="00362F78"/>
    <w:rsid w:val="003630D4"/>
    <w:rsid w:val="00363302"/>
    <w:rsid w:val="00363567"/>
    <w:rsid w:val="00364289"/>
    <w:rsid w:val="003642CD"/>
    <w:rsid w:val="00364DB4"/>
    <w:rsid w:val="00364E0F"/>
    <w:rsid w:val="003650E7"/>
    <w:rsid w:val="003653A6"/>
    <w:rsid w:val="00365643"/>
    <w:rsid w:val="003657FA"/>
    <w:rsid w:val="003659AD"/>
    <w:rsid w:val="00365A05"/>
    <w:rsid w:val="00365C47"/>
    <w:rsid w:val="00365D3D"/>
    <w:rsid w:val="00365E22"/>
    <w:rsid w:val="00365F5B"/>
    <w:rsid w:val="003660BB"/>
    <w:rsid w:val="00366149"/>
    <w:rsid w:val="003664AC"/>
    <w:rsid w:val="00366807"/>
    <w:rsid w:val="00366A35"/>
    <w:rsid w:val="003670F6"/>
    <w:rsid w:val="0036714D"/>
    <w:rsid w:val="00367278"/>
    <w:rsid w:val="003675F0"/>
    <w:rsid w:val="00367E93"/>
    <w:rsid w:val="003700CC"/>
    <w:rsid w:val="003701BD"/>
    <w:rsid w:val="003702EC"/>
    <w:rsid w:val="003703E6"/>
    <w:rsid w:val="003706B0"/>
    <w:rsid w:val="00370BC0"/>
    <w:rsid w:val="00370DF1"/>
    <w:rsid w:val="00370E21"/>
    <w:rsid w:val="00371314"/>
    <w:rsid w:val="00371443"/>
    <w:rsid w:val="003717F7"/>
    <w:rsid w:val="003717FD"/>
    <w:rsid w:val="003719E5"/>
    <w:rsid w:val="00371B06"/>
    <w:rsid w:val="00371FA5"/>
    <w:rsid w:val="00372055"/>
    <w:rsid w:val="003720F8"/>
    <w:rsid w:val="00372210"/>
    <w:rsid w:val="0037227A"/>
    <w:rsid w:val="00372374"/>
    <w:rsid w:val="0037253E"/>
    <w:rsid w:val="003725F0"/>
    <w:rsid w:val="00372672"/>
    <w:rsid w:val="003729BF"/>
    <w:rsid w:val="00372A79"/>
    <w:rsid w:val="003738ED"/>
    <w:rsid w:val="00373CC4"/>
    <w:rsid w:val="00373E8E"/>
    <w:rsid w:val="0037404C"/>
    <w:rsid w:val="003743B4"/>
    <w:rsid w:val="003743C8"/>
    <w:rsid w:val="0037442B"/>
    <w:rsid w:val="00374718"/>
    <w:rsid w:val="00374B8A"/>
    <w:rsid w:val="00374D3A"/>
    <w:rsid w:val="00374E85"/>
    <w:rsid w:val="00375073"/>
    <w:rsid w:val="003754B2"/>
    <w:rsid w:val="00375563"/>
    <w:rsid w:val="0037590F"/>
    <w:rsid w:val="00375964"/>
    <w:rsid w:val="00375AB1"/>
    <w:rsid w:val="00375AE6"/>
    <w:rsid w:val="00375E11"/>
    <w:rsid w:val="0037685A"/>
    <w:rsid w:val="003769AE"/>
    <w:rsid w:val="00376BB4"/>
    <w:rsid w:val="00376D01"/>
    <w:rsid w:val="00376DA8"/>
    <w:rsid w:val="00376EC2"/>
    <w:rsid w:val="00377154"/>
    <w:rsid w:val="00377240"/>
    <w:rsid w:val="0037734A"/>
    <w:rsid w:val="0037792A"/>
    <w:rsid w:val="00377B00"/>
    <w:rsid w:val="00377DBE"/>
    <w:rsid w:val="00377EC5"/>
    <w:rsid w:val="003800FF"/>
    <w:rsid w:val="0038026F"/>
    <w:rsid w:val="00380357"/>
    <w:rsid w:val="00380399"/>
    <w:rsid w:val="0038081C"/>
    <w:rsid w:val="003809DD"/>
    <w:rsid w:val="00380B52"/>
    <w:rsid w:val="00380D4D"/>
    <w:rsid w:val="00380F1C"/>
    <w:rsid w:val="00380F60"/>
    <w:rsid w:val="00381210"/>
    <w:rsid w:val="00381292"/>
    <w:rsid w:val="0038134B"/>
    <w:rsid w:val="00381594"/>
    <w:rsid w:val="00381616"/>
    <w:rsid w:val="00381753"/>
    <w:rsid w:val="00381879"/>
    <w:rsid w:val="0038192D"/>
    <w:rsid w:val="00381B57"/>
    <w:rsid w:val="00381C12"/>
    <w:rsid w:val="00381EAB"/>
    <w:rsid w:val="00381EC5"/>
    <w:rsid w:val="00382041"/>
    <w:rsid w:val="00382296"/>
    <w:rsid w:val="003824A3"/>
    <w:rsid w:val="003824F2"/>
    <w:rsid w:val="00382542"/>
    <w:rsid w:val="003825D3"/>
    <w:rsid w:val="003825E4"/>
    <w:rsid w:val="0038261E"/>
    <w:rsid w:val="00382C67"/>
    <w:rsid w:val="00382CC0"/>
    <w:rsid w:val="00382D82"/>
    <w:rsid w:val="00383170"/>
    <w:rsid w:val="00383586"/>
    <w:rsid w:val="00383ACE"/>
    <w:rsid w:val="00383ADE"/>
    <w:rsid w:val="00383B72"/>
    <w:rsid w:val="00383DD6"/>
    <w:rsid w:val="00383E4B"/>
    <w:rsid w:val="00383F35"/>
    <w:rsid w:val="0038403F"/>
    <w:rsid w:val="003842C3"/>
    <w:rsid w:val="0038460B"/>
    <w:rsid w:val="00384780"/>
    <w:rsid w:val="0038489F"/>
    <w:rsid w:val="003849CF"/>
    <w:rsid w:val="00385208"/>
    <w:rsid w:val="00385438"/>
    <w:rsid w:val="00385456"/>
    <w:rsid w:val="00385585"/>
    <w:rsid w:val="003857C2"/>
    <w:rsid w:val="00385D57"/>
    <w:rsid w:val="00385E1B"/>
    <w:rsid w:val="00386076"/>
    <w:rsid w:val="0038633F"/>
    <w:rsid w:val="0038655A"/>
    <w:rsid w:val="003865BE"/>
    <w:rsid w:val="0038723B"/>
    <w:rsid w:val="0038749A"/>
    <w:rsid w:val="0038796E"/>
    <w:rsid w:val="00387C1E"/>
    <w:rsid w:val="00387C7F"/>
    <w:rsid w:val="00387E43"/>
    <w:rsid w:val="003902D9"/>
    <w:rsid w:val="00390527"/>
    <w:rsid w:val="0039054F"/>
    <w:rsid w:val="0039063A"/>
    <w:rsid w:val="00390704"/>
    <w:rsid w:val="00390BE2"/>
    <w:rsid w:val="00390CC7"/>
    <w:rsid w:val="00390D6C"/>
    <w:rsid w:val="00390E04"/>
    <w:rsid w:val="00390E5D"/>
    <w:rsid w:val="00390EA5"/>
    <w:rsid w:val="00391735"/>
    <w:rsid w:val="00391866"/>
    <w:rsid w:val="00391B04"/>
    <w:rsid w:val="00391BF9"/>
    <w:rsid w:val="00392132"/>
    <w:rsid w:val="00392430"/>
    <w:rsid w:val="0039255D"/>
    <w:rsid w:val="0039259B"/>
    <w:rsid w:val="003926DA"/>
    <w:rsid w:val="0039275C"/>
    <w:rsid w:val="00392BE7"/>
    <w:rsid w:val="00392D9F"/>
    <w:rsid w:val="00392DC4"/>
    <w:rsid w:val="00392E90"/>
    <w:rsid w:val="003930C2"/>
    <w:rsid w:val="0039367E"/>
    <w:rsid w:val="00393974"/>
    <w:rsid w:val="003939F6"/>
    <w:rsid w:val="00393CD5"/>
    <w:rsid w:val="00394013"/>
    <w:rsid w:val="003940EA"/>
    <w:rsid w:val="00394210"/>
    <w:rsid w:val="00394302"/>
    <w:rsid w:val="003945C0"/>
    <w:rsid w:val="00394621"/>
    <w:rsid w:val="00394A06"/>
    <w:rsid w:val="00394D8D"/>
    <w:rsid w:val="00394D95"/>
    <w:rsid w:val="00394FBB"/>
    <w:rsid w:val="00395342"/>
    <w:rsid w:val="0039572D"/>
    <w:rsid w:val="00395867"/>
    <w:rsid w:val="00395930"/>
    <w:rsid w:val="00395A0D"/>
    <w:rsid w:val="00395AA8"/>
    <w:rsid w:val="00395B25"/>
    <w:rsid w:val="00395DF7"/>
    <w:rsid w:val="00396044"/>
    <w:rsid w:val="00396851"/>
    <w:rsid w:val="00396B38"/>
    <w:rsid w:val="003973E6"/>
    <w:rsid w:val="0039742D"/>
    <w:rsid w:val="003974F1"/>
    <w:rsid w:val="0039774E"/>
    <w:rsid w:val="0039795C"/>
    <w:rsid w:val="003A0A9D"/>
    <w:rsid w:val="003A0AF7"/>
    <w:rsid w:val="003A102F"/>
    <w:rsid w:val="003A1270"/>
    <w:rsid w:val="003A14A5"/>
    <w:rsid w:val="003A1695"/>
    <w:rsid w:val="003A173E"/>
    <w:rsid w:val="003A1955"/>
    <w:rsid w:val="003A1961"/>
    <w:rsid w:val="003A1DEA"/>
    <w:rsid w:val="003A1F46"/>
    <w:rsid w:val="003A1F98"/>
    <w:rsid w:val="003A2035"/>
    <w:rsid w:val="003A23EA"/>
    <w:rsid w:val="003A246A"/>
    <w:rsid w:val="003A257E"/>
    <w:rsid w:val="003A27DA"/>
    <w:rsid w:val="003A281F"/>
    <w:rsid w:val="003A2949"/>
    <w:rsid w:val="003A2BA3"/>
    <w:rsid w:val="003A2CDE"/>
    <w:rsid w:val="003A2DA9"/>
    <w:rsid w:val="003A353D"/>
    <w:rsid w:val="003A35D9"/>
    <w:rsid w:val="003A360A"/>
    <w:rsid w:val="003A366A"/>
    <w:rsid w:val="003A3738"/>
    <w:rsid w:val="003A387B"/>
    <w:rsid w:val="003A3981"/>
    <w:rsid w:val="003A3A84"/>
    <w:rsid w:val="003A3C70"/>
    <w:rsid w:val="003A3C77"/>
    <w:rsid w:val="003A3C85"/>
    <w:rsid w:val="003A3DC3"/>
    <w:rsid w:val="003A3EF1"/>
    <w:rsid w:val="003A4152"/>
    <w:rsid w:val="003A41E1"/>
    <w:rsid w:val="003A45C4"/>
    <w:rsid w:val="003A470B"/>
    <w:rsid w:val="003A49ED"/>
    <w:rsid w:val="003A4A1B"/>
    <w:rsid w:val="003A4E97"/>
    <w:rsid w:val="003A51D0"/>
    <w:rsid w:val="003A524D"/>
    <w:rsid w:val="003A5262"/>
    <w:rsid w:val="003A52F7"/>
    <w:rsid w:val="003A586A"/>
    <w:rsid w:val="003A5A0A"/>
    <w:rsid w:val="003A6136"/>
    <w:rsid w:val="003A6253"/>
    <w:rsid w:val="003A67E1"/>
    <w:rsid w:val="003A682C"/>
    <w:rsid w:val="003A6AD5"/>
    <w:rsid w:val="003A6B20"/>
    <w:rsid w:val="003A6BF6"/>
    <w:rsid w:val="003A6D4C"/>
    <w:rsid w:val="003A6E09"/>
    <w:rsid w:val="003A6F2E"/>
    <w:rsid w:val="003A7024"/>
    <w:rsid w:val="003A75DD"/>
    <w:rsid w:val="003A766D"/>
    <w:rsid w:val="003A7744"/>
    <w:rsid w:val="003A7834"/>
    <w:rsid w:val="003A7944"/>
    <w:rsid w:val="003A7B1B"/>
    <w:rsid w:val="003A7D91"/>
    <w:rsid w:val="003A7E11"/>
    <w:rsid w:val="003B031A"/>
    <w:rsid w:val="003B0471"/>
    <w:rsid w:val="003B0480"/>
    <w:rsid w:val="003B0AA8"/>
    <w:rsid w:val="003B0C9A"/>
    <w:rsid w:val="003B0D3F"/>
    <w:rsid w:val="003B0E35"/>
    <w:rsid w:val="003B0F65"/>
    <w:rsid w:val="003B1122"/>
    <w:rsid w:val="003B149B"/>
    <w:rsid w:val="003B14D7"/>
    <w:rsid w:val="003B14F2"/>
    <w:rsid w:val="003B1520"/>
    <w:rsid w:val="003B15FE"/>
    <w:rsid w:val="003B1692"/>
    <w:rsid w:val="003B16A9"/>
    <w:rsid w:val="003B1900"/>
    <w:rsid w:val="003B1A2A"/>
    <w:rsid w:val="003B1CA3"/>
    <w:rsid w:val="003B1D5A"/>
    <w:rsid w:val="003B1E42"/>
    <w:rsid w:val="003B1FEA"/>
    <w:rsid w:val="003B22B2"/>
    <w:rsid w:val="003B25DA"/>
    <w:rsid w:val="003B27AF"/>
    <w:rsid w:val="003B2944"/>
    <w:rsid w:val="003B2BD7"/>
    <w:rsid w:val="003B3697"/>
    <w:rsid w:val="003B39B1"/>
    <w:rsid w:val="003B3A61"/>
    <w:rsid w:val="003B45D6"/>
    <w:rsid w:val="003B4BFE"/>
    <w:rsid w:val="003B4EDB"/>
    <w:rsid w:val="003B5524"/>
    <w:rsid w:val="003B56C1"/>
    <w:rsid w:val="003B5B37"/>
    <w:rsid w:val="003B5BBC"/>
    <w:rsid w:val="003B5E20"/>
    <w:rsid w:val="003B62C7"/>
    <w:rsid w:val="003B6578"/>
    <w:rsid w:val="003B687F"/>
    <w:rsid w:val="003B70FA"/>
    <w:rsid w:val="003B7256"/>
    <w:rsid w:val="003B7B44"/>
    <w:rsid w:val="003C01FA"/>
    <w:rsid w:val="003C02E8"/>
    <w:rsid w:val="003C0402"/>
    <w:rsid w:val="003C0470"/>
    <w:rsid w:val="003C055D"/>
    <w:rsid w:val="003C09B6"/>
    <w:rsid w:val="003C09E3"/>
    <w:rsid w:val="003C0A5E"/>
    <w:rsid w:val="003C0C85"/>
    <w:rsid w:val="003C0CF8"/>
    <w:rsid w:val="003C18C6"/>
    <w:rsid w:val="003C1A66"/>
    <w:rsid w:val="003C1CF6"/>
    <w:rsid w:val="003C1F34"/>
    <w:rsid w:val="003C236B"/>
    <w:rsid w:val="003C26A7"/>
    <w:rsid w:val="003C26B0"/>
    <w:rsid w:val="003C26ED"/>
    <w:rsid w:val="003C2875"/>
    <w:rsid w:val="003C2A44"/>
    <w:rsid w:val="003C2CC8"/>
    <w:rsid w:val="003C2F39"/>
    <w:rsid w:val="003C3201"/>
    <w:rsid w:val="003C33EA"/>
    <w:rsid w:val="003C3430"/>
    <w:rsid w:val="003C398B"/>
    <w:rsid w:val="003C3CD9"/>
    <w:rsid w:val="003C3F4B"/>
    <w:rsid w:val="003C4022"/>
    <w:rsid w:val="003C4267"/>
    <w:rsid w:val="003C4872"/>
    <w:rsid w:val="003C4A33"/>
    <w:rsid w:val="003C4AA4"/>
    <w:rsid w:val="003C4B96"/>
    <w:rsid w:val="003C4C4D"/>
    <w:rsid w:val="003C4FE3"/>
    <w:rsid w:val="003C556C"/>
    <w:rsid w:val="003C566E"/>
    <w:rsid w:val="003C57C1"/>
    <w:rsid w:val="003C594B"/>
    <w:rsid w:val="003C5DEC"/>
    <w:rsid w:val="003C6157"/>
    <w:rsid w:val="003C642F"/>
    <w:rsid w:val="003C656D"/>
    <w:rsid w:val="003C665E"/>
    <w:rsid w:val="003C66B1"/>
    <w:rsid w:val="003C6812"/>
    <w:rsid w:val="003C6DB8"/>
    <w:rsid w:val="003C6DBD"/>
    <w:rsid w:val="003C6F6F"/>
    <w:rsid w:val="003C736E"/>
    <w:rsid w:val="003C7510"/>
    <w:rsid w:val="003C751A"/>
    <w:rsid w:val="003C7D00"/>
    <w:rsid w:val="003D0105"/>
    <w:rsid w:val="003D01FB"/>
    <w:rsid w:val="003D02F2"/>
    <w:rsid w:val="003D05AB"/>
    <w:rsid w:val="003D09C1"/>
    <w:rsid w:val="003D0A31"/>
    <w:rsid w:val="003D0CD3"/>
    <w:rsid w:val="003D19B8"/>
    <w:rsid w:val="003D1DED"/>
    <w:rsid w:val="003D20A8"/>
    <w:rsid w:val="003D2123"/>
    <w:rsid w:val="003D23B8"/>
    <w:rsid w:val="003D27E6"/>
    <w:rsid w:val="003D2EB1"/>
    <w:rsid w:val="003D31AA"/>
    <w:rsid w:val="003D3E6D"/>
    <w:rsid w:val="003D4052"/>
    <w:rsid w:val="003D4983"/>
    <w:rsid w:val="003D4B6B"/>
    <w:rsid w:val="003D4E4C"/>
    <w:rsid w:val="003D4F21"/>
    <w:rsid w:val="003D4FDA"/>
    <w:rsid w:val="003D52EC"/>
    <w:rsid w:val="003D6010"/>
    <w:rsid w:val="003D6096"/>
    <w:rsid w:val="003D65C3"/>
    <w:rsid w:val="003D672B"/>
    <w:rsid w:val="003D6F50"/>
    <w:rsid w:val="003D70C5"/>
    <w:rsid w:val="003D7267"/>
    <w:rsid w:val="003D728F"/>
    <w:rsid w:val="003D7415"/>
    <w:rsid w:val="003D75A6"/>
    <w:rsid w:val="003D77B3"/>
    <w:rsid w:val="003D7BC7"/>
    <w:rsid w:val="003D7BE3"/>
    <w:rsid w:val="003D7C69"/>
    <w:rsid w:val="003D7E80"/>
    <w:rsid w:val="003E01A7"/>
    <w:rsid w:val="003E02B8"/>
    <w:rsid w:val="003E03C2"/>
    <w:rsid w:val="003E05FB"/>
    <w:rsid w:val="003E0CC2"/>
    <w:rsid w:val="003E1049"/>
    <w:rsid w:val="003E10EB"/>
    <w:rsid w:val="003E1281"/>
    <w:rsid w:val="003E1401"/>
    <w:rsid w:val="003E1594"/>
    <w:rsid w:val="003E1874"/>
    <w:rsid w:val="003E1C77"/>
    <w:rsid w:val="003E1F07"/>
    <w:rsid w:val="003E20F9"/>
    <w:rsid w:val="003E2692"/>
    <w:rsid w:val="003E27D4"/>
    <w:rsid w:val="003E2A07"/>
    <w:rsid w:val="003E2DBF"/>
    <w:rsid w:val="003E30CF"/>
    <w:rsid w:val="003E316F"/>
    <w:rsid w:val="003E3323"/>
    <w:rsid w:val="003E3378"/>
    <w:rsid w:val="003E35F0"/>
    <w:rsid w:val="003E3E59"/>
    <w:rsid w:val="003E4124"/>
    <w:rsid w:val="003E41BE"/>
    <w:rsid w:val="003E42A2"/>
    <w:rsid w:val="003E4402"/>
    <w:rsid w:val="003E44D6"/>
    <w:rsid w:val="003E4961"/>
    <w:rsid w:val="003E4CFE"/>
    <w:rsid w:val="003E52C8"/>
    <w:rsid w:val="003E56B1"/>
    <w:rsid w:val="003E5A62"/>
    <w:rsid w:val="003E5B24"/>
    <w:rsid w:val="003E624D"/>
    <w:rsid w:val="003E6348"/>
    <w:rsid w:val="003E63C5"/>
    <w:rsid w:val="003E65CB"/>
    <w:rsid w:val="003E687E"/>
    <w:rsid w:val="003E6974"/>
    <w:rsid w:val="003E6B28"/>
    <w:rsid w:val="003E6CD7"/>
    <w:rsid w:val="003E6E08"/>
    <w:rsid w:val="003E6F2F"/>
    <w:rsid w:val="003E704F"/>
    <w:rsid w:val="003E7684"/>
    <w:rsid w:val="003E77B1"/>
    <w:rsid w:val="003E78FC"/>
    <w:rsid w:val="003E7ECB"/>
    <w:rsid w:val="003F0173"/>
    <w:rsid w:val="003F0834"/>
    <w:rsid w:val="003F09B9"/>
    <w:rsid w:val="003F0A52"/>
    <w:rsid w:val="003F0C64"/>
    <w:rsid w:val="003F0D3F"/>
    <w:rsid w:val="003F0EE0"/>
    <w:rsid w:val="003F0F14"/>
    <w:rsid w:val="003F1195"/>
    <w:rsid w:val="003F12C1"/>
    <w:rsid w:val="003F1316"/>
    <w:rsid w:val="003F154C"/>
    <w:rsid w:val="003F17B8"/>
    <w:rsid w:val="003F1A14"/>
    <w:rsid w:val="003F1F7F"/>
    <w:rsid w:val="003F23D1"/>
    <w:rsid w:val="003F24D1"/>
    <w:rsid w:val="003F28C7"/>
    <w:rsid w:val="003F2A2F"/>
    <w:rsid w:val="003F2AFF"/>
    <w:rsid w:val="003F2E39"/>
    <w:rsid w:val="003F2F03"/>
    <w:rsid w:val="003F3240"/>
    <w:rsid w:val="003F32A5"/>
    <w:rsid w:val="003F3598"/>
    <w:rsid w:val="003F3839"/>
    <w:rsid w:val="003F39E2"/>
    <w:rsid w:val="003F3B4F"/>
    <w:rsid w:val="003F3D02"/>
    <w:rsid w:val="003F3DE9"/>
    <w:rsid w:val="003F3FA9"/>
    <w:rsid w:val="003F4121"/>
    <w:rsid w:val="003F43DC"/>
    <w:rsid w:val="003F446F"/>
    <w:rsid w:val="003F45A6"/>
    <w:rsid w:val="003F4711"/>
    <w:rsid w:val="003F4BB8"/>
    <w:rsid w:val="003F4D7C"/>
    <w:rsid w:val="003F4E37"/>
    <w:rsid w:val="003F5015"/>
    <w:rsid w:val="003F568F"/>
    <w:rsid w:val="003F56F8"/>
    <w:rsid w:val="003F578E"/>
    <w:rsid w:val="003F6329"/>
    <w:rsid w:val="003F6AEC"/>
    <w:rsid w:val="003F6C37"/>
    <w:rsid w:val="003F6C95"/>
    <w:rsid w:val="003F78E8"/>
    <w:rsid w:val="003F7AE4"/>
    <w:rsid w:val="003F7D13"/>
    <w:rsid w:val="003F7DCF"/>
    <w:rsid w:val="003F7ED4"/>
    <w:rsid w:val="003F7FE8"/>
    <w:rsid w:val="0040010B"/>
    <w:rsid w:val="00400221"/>
    <w:rsid w:val="00400440"/>
    <w:rsid w:val="00400720"/>
    <w:rsid w:val="0040089C"/>
    <w:rsid w:val="00400D9C"/>
    <w:rsid w:val="00401022"/>
    <w:rsid w:val="00401164"/>
    <w:rsid w:val="00401A4C"/>
    <w:rsid w:val="00401D38"/>
    <w:rsid w:val="00401DF8"/>
    <w:rsid w:val="004022D3"/>
    <w:rsid w:val="004024B2"/>
    <w:rsid w:val="00402527"/>
    <w:rsid w:val="00402713"/>
    <w:rsid w:val="00403543"/>
    <w:rsid w:val="004038E6"/>
    <w:rsid w:val="00403B1D"/>
    <w:rsid w:val="00403D4F"/>
    <w:rsid w:val="00403EA5"/>
    <w:rsid w:val="004045C7"/>
    <w:rsid w:val="0040461F"/>
    <w:rsid w:val="004046DC"/>
    <w:rsid w:val="0040476D"/>
    <w:rsid w:val="00404794"/>
    <w:rsid w:val="00404C26"/>
    <w:rsid w:val="00404D65"/>
    <w:rsid w:val="0040510F"/>
    <w:rsid w:val="004054EF"/>
    <w:rsid w:val="004058DE"/>
    <w:rsid w:val="004059C7"/>
    <w:rsid w:val="00405D35"/>
    <w:rsid w:val="00405DCB"/>
    <w:rsid w:val="00405E62"/>
    <w:rsid w:val="004066B6"/>
    <w:rsid w:val="00406AC3"/>
    <w:rsid w:val="00406D75"/>
    <w:rsid w:val="00406DFF"/>
    <w:rsid w:val="00407210"/>
    <w:rsid w:val="004077CE"/>
    <w:rsid w:val="004079BF"/>
    <w:rsid w:val="00407BAC"/>
    <w:rsid w:val="00407C31"/>
    <w:rsid w:val="00407E18"/>
    <w:rsid w:val="00407E7E"/>
    <w:rsid w:val="00410116"/>
    <w:rsid w:val="0041074A"/>
    <w:rsid w:val="004108E7"/>
    <w:rsid w:val="00410C0C"/>
    <w:rsid w:val="00410C0F"/>
    <w:rsid w:val="00410D83"/>
    <w:rsid w:val="00410F36"/>
    <w:rsid w:val="00411202"/>
    <w:rsid w:val="004114F1"/>
    <w:rsid w:val="004115CB"/>
    <w:rsid w:val="0041177F"/>
    <w:rsid w:val="00411BBB"/>
    <w:rsid w:val="00411E51"/>
    <w:rsid w:val="004124D7"/>
    <w:rsid w:val="004125AC"/>
    <w:rsid w:val="00412622"/>
    <w:rsid w:val="00412629"/>
    <w:rsid w:val="00412A75"/>
    <w:rsid w:val="00412BFE"/>
    <w:rsid w:val="00412C39"/>
    <w:rsid w:val="00412E3E"/>
    <w:rsid w:val="00412EB8"/>
    <w:rsid w:val="004130EA"/>
    <w:rsid w:val="00413112"/>
    <w:rsid w:val="004136F8"/>
    <w:rsid w:val="00413B40"/>
    <w:rsid w:val="00413DE0"/>
    <w:rsid w:val="00413E27"/>
    <w:rsid w:val="00414017"/>
    <w:rsid w:val="004140FC"/>
    <w:rsid w:val="004142E7"/>
    <w:rsid w:val="00414495"/>
    <w:rsid w:val="0041485F"/>
    <w:rsid w:val="00414A0E"/>
    <w:rsid w:val="00414D1F"/>
    <w:rsid w:val="00414D69"/>
    <w:rsid w:val="00414E0D"/>
    <w:rsid w:val="00414E69"/>
    <w:rsid w:val="00414F22"/>
    <w:rsid w:val="00415005"/>
    <w:rsid w:val="00415374"/>
    <w:rsid w:val="004154AF"/>
    <w:rsid w:val="004156B0"/>
    <w:rsid w:val="00415A5F"/>
    <w:rsid w:val="00415B8E"/>
    <w:rsid w:val="0041634E"/>
    <w:rsid w:val="004164A8"/>
    <w:rsid w:val="0041672E"/>
    <w:rsid w:val="0041685A"/>
    <w:rsid w:val="00416867"/>
    <w:rsid w:val="00416913"/>
    <w:rsid w:val="00416B90"/>
    <w:rsid w:val="00416C57"/>
    <w:rsid w:val="00416FC1"/>
    <w:rsid w:val="0041721B"/>
    <w:rsid w:val="0041727D"/>
    <w:rsid w:val="00417394"/>
    <w:rsid w:val="0041783F"/>
    <w:rsid w:val="00417B34"/>
    <w:rsid w:val="00417BB1"/>
    <w:rsid w:val="00417F5B"/>
    <w:rsid w:val="00420025"/>
    <w:rsid w:val="0042004C"/>
    <w:rsid w:val="00420224"/>
    <w:rsid w:val="0042061C"/>
    <w:rsid w:val="0042106A"/>
    <w:rsid w:val="004211FE"/>
    <w:rsid w:val="00421212"/>
    <w:rsid w:val="00421281"/>
    <w:rsid w:val="00421765"/>
    <w:rsid w:val="00421954"/>
    <w:rsid w:val="0042202C"/>
    <w:rsid w:val="00422174"/>
    <w:rsid w:val="00422176"/>
    <w:rsid w:val="00422279"/>
    <w:rsid w:val="004222A6"/>
    <w:rsid w:val="00422663"/>
    <w:rsid w:val="00422F68"/>
    <w:rsid w:val="00422F70"/>
    <w:rsid w:val="004231BD"/>
    <w:rsid w:val="00423373"/>
    <w:rsid w:val="0042343A"/>
    <w:rsid w:val="004239FB"/>
    <w:rsid w:val="00423A83"/>
    <w:rsid w:val="00423FDC"/>
    <w:rsid w:val="0042474E"/>
    <w:rsid w:val="0042481E"/>
    <w:rsid w:val="00424CEF"/>
    <w:rsid w:val="0042506E"/>
    <w:rsid w:val="0042508C"/>
    <w:rsid w:val="0042570E"/>
    <w:rsid w:val="00425943"/>
    <w:rsid w:val="00425CAB"/>
    <w:rsid w:val="00425CE7"/>
    <w:rsid w:val="00425D7D"/>
    <w:rsid w:val="00425F28"/>
    <w:rsid w:val="00426713"/>
    <w:rsid w:val="00426850"/>
    <w:rsid w:val="00426B2E"/>
    <w:rsid w:val="00426F1F"/>
    <w:rsid w:val="00426F29"/>
    <w:rsid w:val="004270E1"/>
    <w:rsid w:val="00427198"/>
    <w:rsid w:val="0042739E"/>
    <w:rsid w:val="00427680"/>
    <w:rsid w:val="004276D2"/>
    <w:rsid w:val="0042776C"/>
    <w:rsid w:val="00427777"/>
    <w:rsid w:val="004277DF"/>
    <w:rsid w:val="00427FC8"/>
    <w:rsid w:val="00430170"/>
    <w:rsid w:val="00430262"/>
    <w:rsid w:val="0043037C"/>
    <w:rsid w:val="004303E4"/>
    <w:rsid w:val="004305C5"/>
    <w:rsid w:val="00430637"/>
    <w:rsid w:val="00430B1A"/>
    <w:rsid w:val="00430F3E"/>
    <w:rsid w:val="0043117B"/>
    <w:rsid w:val="00431481"/>
    <w:rsid w:val="004315D0"/>
    <w:rsid w:val="004317FE"/>
    <w:rsid w:val="00431997"/>
    <w:rsid w:val="00431A03"/>
    <w:rsid w:val="00431AE6"/>
    <w:rsid w:val="00431E65"/>
    <w:rsid w:val="00431EB2"/>
    <w:rsid w:val="0043221F"/>
    <w:rsid w:val="0043229C"/>
    <w:rsid w:val="004322B7"/>
    <w:rsid w:val="004323F4"/>
    <w:rsid w:val="0043269D"/>
    <w:rsid w:val="00432AA8"/>
    <w:rsid w:val="00432D51"/>
    <w:rsid w:val="00432DAD"/>
    <w:rsid w:val="00432E4A"/>
    <w:rsid w:val="004330C2"/>
    <w:rsid w:val="004334A8"/>
    <w:rsid w:val="00433765"/>
    <w:rsid w:val="0043388E"/>
    <w:rsid w:val="00433C09"/>
    <w:rsid w:val="004340E4"/>
    <w:rsid w:val="004343F3"/>
    <w:rsid w:val="00434B84"/>
    <w:rsid w:val="00434C36"/>
    <w:rsid w:val="00434D11"/>
    <w:rsid w:val="00434D1A"/>
    <w:rsid w:val="00434F3A"/>
    <w:rsid w:val="00434F77"/>
    <w:rsid w:val="004351EE"/>
    <w:rsid w:val="0043533D"/>
    <w:rsid w:val="0043545C"/>
    <w:rsid w:val="00435875"/>
    <w:rsid w:val="00435E50"/>
    <w:rsid w:val="00436011"/>
    <w:rsid w:val="00436118"/>
    <w:rsid w:val="00436250"/>
    <w:rsid w:val="004363A5"/>
    <w:rsid w:val="004363CB"/>
    <w:rsid w:val="0043657F"/>
    <w:rsid w:val="004367C4"/>
    <w:rsid w:val="00436CBF"/>
    <w:rsid w:val="00436E27"/>
    <w:rsid w:val="00436FBC"/>
    <w:rsid w:val="0043707E"/>
    <w:rsid w:val="0043720A"/>
    <w:rsid w:val="00437216"/>
    <w:rsid w:val="00437255"/>
    <w:rsid w:val="0043729E"/>
    <w:rsid w:val="0043734A"/>
    <w:rsid w:val="00437676"/>
    <w:rsid w:val="00437A1F"/>
    <w:rsid w:val="00437E31"/>
    <w:rsid w:val="0044002B"/>
    <w:rsid w:val="004400CC"/>
    <w:rsid w:val="004402A4"/>
    <w:rsid w:val="004407C5"/>
    <w:rsid w:val="00440889"/>
    <w:rsid w:val="004409E6"/>
    <w:rsid w:val="00440BF1"/>
    <w:rsid w:val="00440C6D"/>
    <w:rsid w:val="00440CB0"/>
    <w:rsid w:val="004415BA"/>
    <w:rsid w:val="00441738"/>
    <w:rsid w:val="00441764"/>
    <w:rsid w:val="0044196F"/>
    <w:rsid w:val="00441B33"/>
    <w:rsid w:val="00441C9F"/>
    <w:rsid w:val="00441DC5"/>
    <w:rsid w:val="004421D4"/>
    <w:rsid w:val="004424A7"/>
    <w:rsid w:val="00442DAD"/>
    <w:rsid w:val="00442E2B"/>
    <w:rsid w:val="00442EBC"/>
    <w:rsid w:val="00442EFB"/>
    <w:rsid w:val="00443292"/>
    <w:rsid w:val="00443517"/>
    <w:rsid w:val="00443B66"/>
    <w:rsid w:val="00443D31"/>
    <w:rsid w:val="00444663"/>
    <w:rsid w:val="004446B9"/>
    <w:rsid w:val="004448B1"/>
    <w:rsid w:val="00444F06"/>
    <w:rsid w:val="00445027"/>
    <w:rsid w:val="0044561F"/>
    <w:rsid w:val="00445A60"/>
    <w:rsid w:val="004460FF"/>
    <w:rsid w:val="00446154"/>
    <w:rsid w:val="004461A7"/>
    <w:rsid w:val="00446260"/>
    <w:rsid w:val="00446428"/>
    <w:rsid w:val="00446719"/>
    <w:rsid w:val="00446770"/>
    <w:rsid w:val="00446784"/>
    <w:rsid w:val="004467F1"/>
    <w:rsid w:val="00446C29"/>
    <w:rsid w:val="00446DC0"/>
    <w:rsid w:val="00446F14"/>
    <w:rsid w:val="0044704B"/>
    <w:rsid w:val="00447442"/>
    <w:rsid w:val="004474D3"/>
    <w:rsid w:val="004476A0"/>
    <w:rsid w:val="004478F5"/>
    <w:rsid w:val="00447A55"/>
    <w:rsid w:val="00447CBD"/>
    <w:rsid w:val="00447CF3"/>
    <w:rsid w:val="004509CC"/>
    <w:rsid w:val="00450C8B"/>
    <w:rsid w:val="00450CF4"/>
    <w:rsid w:val="00451168"/>
    <w:rsid w:val="00451A92"/>
    <w:rsid w:val="00451F96"/>
    <w:rsid w:val="0045210C"/>
    <w:rsid w:val="00452444"/>
    <w:rsid w:val="0045280E"/>
    <w:rsid w:val="00452AE9"/>
    <w:rsid w:val="00452FA2"/>
    <w:rsid w:val="0045338F"/>
    <w:rsid w:val="0045383B"/>
    <w:rsid w:val="00453883"/>
    <w:rsid w:val="00453A4E"/>
    <w:rsid w:val="00453DD8"/>
    <w:rsid w:val="00454550"/>
    <w:rsid w:val="004546DE"/>
    <w:rsid w:val="00454E0C"/>
    <w:rsid w:val="00454E80"/>
    <w:rsid w:val="004550B1"/>
    <w:rsid w:val="00455246"/>
    <w:rsid w:val="004555F5"/>
    <w:rsid w:val="004556D4"/>
    <w:rsid w:val="00455714"/>
    <w:rsid w:val="00455791"/>
    <w:rsid w:val="004558E9"/>
    <w:rsid w:val="00455BE1"/>
    <w:rsid w:val="00455C7B"/>
    <w:rsid w:val="00455D7A"/>
    <w:rsid w:val="00455DDA"/>
    <w:rsid w:val="0045605E"/>
    <w:rsid w:val="0045644A"/>
    <w:rsid w:val="00456CEA"/>
    <w:rsid w:val="00456F25"/>
    <w:rsid w:val="00456F6D"/>
    <w:rsid w:val="0045701C"/>
    <w:rsid w:val="00457033"/>
    <w:rsid w:val="00457676"/>
    <w:rsid w:val="004576AB"/>
    <w:rsid w:val="0045785C"/>
    <w:rsid w:val="0045791D"/>
    <w:rsid w:val="00457D31"/>
    <w:rsid w:val="00457D3B"/>
    <w:rsid w:val="004600AF"/>
    <w:rsid w:val="0046011A"/>
    <w:rsid w:val="0046013E"/>
    <w:rsid w:val="00460251"/>
    <w:rsid w:val="00460306"/>
    <w:rsid w:val="00460776"/>
    <w:rsid w:val="00460B2A"/>
    <w:rsid w:val="00460D3D"/>
    <w:rsid w:val="00460E5F"/>
    <w:rsid w:val="00460FE2"/>
    <w:rsid w:val="0046105D"/>
    <w:rsid w:val="004610EF"/>
    <w:rsid w:val="0046133F"/>
    <w:rsid w:val="004614AD"/>
    <w:rsid w:val="004615AE"/>
    <w:rsid w:val="00461611"/>
    <w:rsid w:val="004618AB"/>
    <w:rsid w:val="00461A3E"/>
    <w:rsid w:val="00462408"/>
    <w:rsid w:val="004625E7"/>
    <w:rsid w:val="004626E2"/>
    <w:rsid w:val="00462761"/>
    <w:rsid w:val="004627F4"/>
    <w:rsid w:val="00462982"/>
    <w:rsid w:val="00462A28"/>
    <w:rsid w:val="00462DC3"/>
    <w:rsid w:val="00462F1B"/>
    <w:rsid w:val="0046337F"/>
    <w:rsid w:val="0046364F"/>
    <w:rsid w:val="00463743"/>
    <w:rsid w:val="004637AA"/>
    <w:rsid w:val="00463EB4"/>
    <w:rsid w:val="00463EC5"/>
    <w:rsid w:val="00463F57"/>
    <w:rsid w:val="00464117"/>
    <w:rsid w:val="00464A3F"/>
    <w:rsid w:val="00464C07"/>
    <w:rsid w:val="004658B4"/>
    <w:rsid w:val="004659AF"/>
    <w:rsid w:val="00465A10"/>
    <w:rsid w:val="00465B3F"/>
    <w:rsid w:val="00465BBA"/>
    <w:rsid w:val="00465E22"/>
    <w:rsid w:val="00466083"/>
    <w:rsid w:val="00466573"/>
    <w:rsid w:val="004665AB"/>
    <w:rsid w:val="00467105"/>
    <w:rsid w:val="00467B9D"/>
    <w:rsid w:val="00467F0F"/>
    <w:rsid w:val="004700B0"/>
    <w:rsid w:val="00470259"/>
    <w:rsid w:val="00470467"/>
    <w:rsid w:val="004705CE"/>
    <w:rsid w:val="004706A8"/>
    <w:rsid w:val="0047093C"/>
    <w:rsid w:val="00471044"/>
    <w:rsid w:val="004710A6"/>
    <w:rsid w:val="004713AB"/>
    <w:rsid w:val="0047141B"/>
    <w:rsid w:val="00471775"/>
    <w:rsid w:val="00471922"/>
    <w:rsid w:val="00471C16"/>
    <w:rsid w:val="00472099"/>
    <w:rsid w:val="0047219A"/>
    <w:rsid w:val="00472353"/>
    <w:rsid w:val="0047264F"/>
    <w:rsid w:val="004726CE"/>
    <w:rsid w:val="00472784"/>
    <w:rsid w:val="00472AD5"/>
    <w:rsid w:val="0047309B"/>
    <w:rsid w:val="00473627"/>
    <w:rsid w:val="004736F9"/>
    <w:rsid w:val="00473939"/>
    <w:rsid w:val="00473AB6"/>
    <w:rsid w:val="00473AF2"/>
    <w:rsid w:val="00473D7F"/>
    <w:rsid w:val="004743DF"/>
    <w:rsid w:val="00474540"/>
    <w:rsid w:val="00474707"/>
    <w:rsid w:val="00474CA3"/>
    <w:rsid w:val="00474CDE"/>
    <w:rsid w:val="00474FFE"/>
    <w:rsid w:val="004750BF"/>
    <w:rsid w:val="004753ED"/>
    <w:rsid w:val="004754D3"/>
    <w:rsid w:val="004757A4"/>
    <w:rsid w:val="0047598B"/>
    <w:rsid w:val="00475A39"/>
    <w:rsid w:val="00475B18"/>
    <w:rsid w:val="00475BA4"/>
    <w:rsid w:val="00475EAA"/>
    <w:rsid w:val="00475F97"/>
    <w:rsid w:val="00476421"/>
    <w:rsid w:val="0047654B"/>
    <w:rsid w:val="004768E5"/>
    <w:rsid w:val="0047690D"/>
    <w:rsid w:val="00476C2B"/>
    <w:rsid w:val="00476FC7"/>
    <w:rsid w:val="00477014"/>
    <w:rsid w:val="004778BC"/>
    <w:rsid w:val="004779E1"/>
    <w:rsid w:val="00477B44"/>
    <w:rsid w:val="00477E11"/>
    <w:rsid w:val="00477EFB"/>
    <w:rsid w:val="00477F42"/>
    <w:rsid w:val="0048039E"/>
    <w:rsid w:val="00480620"/>
    <w:rsid w:val="00480870"/>
    <w:rsid w:val="004809A0"/>
    <w:rsid w:val="00480BE9"/>
    <w:rsid w:val="00480FA3"/>
    <w:rsid w:val="0048144E"/>
    <w:rsid w:val="00481799"/>
    <w:rsid w:val="00481814"/>
    <w:rsid w:val="00481C79"/>
    <w:rsid w:val="00481CC2"/>
    <w:rsid w:val="00481E4D"/>
    <w:rsid w:val="0048205E"/>
    <w:rsid w:val="00482124"/>
    <w:rsid w:val="004822EE"/>
    <w:rsid w:val="004827D4"/>
    <w:rsid w:val="00482825"/>
    <w:rsid w:val="0048308B"/>
    <w:rsid w:val="00483118"/>
    <w:rsid w:val="004831B6"/>
    <w:rsid w:val="004834C7"/>
    <w:rsid w:val="0048356A"/>
    <w:rsid w:val="00483724"/>
    <w:rsid w:val="00483AFD"/>
    <w:rsid w:val="00483EE3"/>
    <w:rsid w:val="00483FDB"/>
    <w:rsid w:val="0048402C"/>
    <w:rsid w:val="004841A3"/>
    <w:rsid w:val="00484537"/>
    <w:rsid w:val="00484561"/>
    <w:rsid w:val="004846CF"/>
    <w:rsid w:val="00484803"/>
    <w:rsid w:val="004848BA"/>
    <w:rsid w:val="00484B1D"/>
    <w:rsid w:val="00484B56"/>
    <w:rsid w:val="004853F4"/>
    <w:rsid w:val="00485732"/>
    <w:rsid w:val="00485C10"/>
    <w:rsid w:val="00485C67"/>
    <w:rsid w:val="00485CB4"/>
    <w:rsid w:val="00486043"/>
    <w:rsid w:val="00486088"/>
    <w:rsid w:val="0048629D"/>
    <w:rsid w:val="00486666"/>
    <w:rsid w:val="004869DE"/>
    <w:rsid w:val="00486D76"/>
    <w:rsid w:val="00486EDF"/>
    <w:rsid w:val="00486F45"/>
    <w:rsid w:val="00487140"/>
    <w:rsid w:val="004871D7"/>
    <w:rsid w:val="0048735C"/>
    <w:rsid w:val="0048754C"/>
    <w:rsid w:val="004875FB"/>
    <w:rsid w:val="00487C39"/>
    <w:rsid w:val="00487D1C"/>
    <w:rsid w:val="00487D76"/>
    <w:rsid w:val="00487DE2"/>
    <w:rsid w:val="00487FEC"/>
    <w:rsid w:val="004900A4"/>
    <w:rsid w:val="00490189"/>
    <w:rsid w:val="00490273"/>
    <w:rsid w:val="0049055D"/>
    <w:rsid w:val="0049078F"/>
    <w:rsid w:val="004909F5"/>
    <w:rsid w:val="00490C1F"/>
    <w:rsid w:val="00490CA4"/>
    <w:rsid w:val="00490EF7"/>
    <w:rsid w:val="00491089"/>
    <w:rsid w:val="004914E0"/>
    <w:rsid w:val="004916CC"/>
    <w:rsid w:val="00491891"/>
    <w:rsid w:val="00491C30"/>
    <w:rsid w:val="00491F0A"/>
    <w:rsid w:val="00491F98"/>
    <w:rsid w:val="0049211A"/>
    <w:rsid w:val="004922D3"/>
    <w:rsid w:val="00492352"/>
    <w:rsid w:val="004924DB"/>
    <w:rsid w:val="0049253A"/>
    <w:rsid w:val="004925AB"/>
    <w:rsid w:val="0049276C"/>
    <w:rsid w:val="00492928"/>
    <w:rsid w:val="00492C25"/>
    <w:rsid w:val="00492D9E"/>
    <w:rsid w:val="00492EC1"/>
    <w:rsid w:val="0049321B"/>
    <w:rsid w:val="00493406"/>
    <w:rsid w:val="00493453"/>
    <w:rsid w:val="00493578"/>
    <w:rsid w:val="00493662"/>
    <w:rsid w:val="00493743"/>
    <w:rsid w:val="004937A1"/>
    <w:rsid w:val="004938C8"/>
    <w:rsid w:val="00493953"/>
    <w:rsid w:val="00493A18"/>
    <w:rsid w:val="00493B23"/>
    <w:rsid w:val="00493B90"/>
    <w:rsid w:val="00493C03"/>
    <w:rsid w:val="00493E29"/>
    <w:rsid w:val="00493E61"/>
    <w:rsid w:val="00494142"/>
    <w:rsid w:val="00494414"/>
    <w:rsid w:val="00494538"/>
    <w:rsid w:val="004945C9"/>
    <w:rsid w:val="00494B2F"/>
    <w:rsid w:val="00494C3E"/>
    <w:rsid w:val="00494F47"/>
    <w:rsid w:val="00494F8B"/>
    <w:rsid w:val="004950CF"/>
    <w:rsid w:val="004951B7"/>
    <w:rsid w:val="004953A6"/>
    <w:rsid w:val="0049549C"/>
    <w:rsid w:val="0049566C"/>
    <w:rsid w:val="0049574B"/>
    <w:rsid w:val="00495A62"/>
    <w:rsid w:val="004965D0"/>
    <w:rsid w:val="0049681E"/>
    <w:rsid w:val="0049696C"/>
    <w:rsid w:val="004969BE"/>
    <w:rsid w:val="00496B15"/>
    <w:rsid w:val="00496B70"/>
    <w:rsid w:val="00496F50"/>
    <w:rsid w:val="00496F53"/>
    <w:rsid w:val="004972F0"/>
    <w:rsid w:val="0049734B"/>
    <w:rsid w:val="00497452"/>
    <w:rsid w:val="00497526"/>
    <w:rsid w:val="00497527"/>
    <w:rsid w:val="004975F2"/>
    <w:rsid w:val="00497D39"/>
    <w:rsid w:val="004A010D"/>
    <w:rsid w:val="004A0AFB"/>
    <w:rsid w:val="004A1292"/>
    <w:rsid w:val="004A1638"/>
    <w:rsid w:val="004A1867"/>
    <w:rsid w:val="004A1A94"/>
    <w:rsid w:val="004A1B5D"/>
    <w:rsid w:val="004A1E29"/>
    <w:rsid w:val="004A1FFE"/>
    <w:rsid w:val="004A2272"/>
    <w:rsid w:val="004A2588"/>
    <w:rsid w:val="004A295E"/>
    <w:rsid w:val="004A2A65"/>
    <w:rsid w:val="004A2DF3"/>
    <w:rsid w:val="004A2E68"/>
    <w:rsid w:val="004A2F89"/>
    <w:rsid w:val="004A315C"/>
    <w:rsid w:val="004A3644"/>
    <w:rsid w:val="004A3897"/>
    <w:rsid w:val="004A38B9"/>
    <w:rsid w:val="004A3C06"/>
    <w:rsid w:val="004A3DF7"/>
    <w:rsid w:val="004A3F8C"/>
    <w:rsid w:val="004A41AB"/>
    <w:rsid w:val="004A4516"/>
    <w:rsid w:val="004A46B6"/>
    <w:rsid w:val="004A488D"/>
    <w:rsid w:val="004A4928"/>
    <w:rsid w:val="004A4B18"/>
    <w:rsid w:val="004A4BDD"/>
    <w:rsid w:val="004A56E7"/>
    <w:rsid w:val="004A576D"/>
    <w:rsid w:val="004A57E0"/>
    <w:rsid w:val="004A61C4"/>
    <w:rsid w:val="004A6541"/>
    <w:rsid w:val="004A67DE"/>
    <w:rsid w:val="004A68AD"/>
    <w:rsid w:val="004A68AE"/>
    <w:rsid w:val="004A7188"/>
    <w:rsid w:val="004A7210"/>
    <w:rsid w:val="004A726A"/>
    <w:rsid w:val="004A7437"/>
    <w:rsid w:val="004A755E"/>
    <w:rsid w:val="004A7878"/>
    <w:rsid w:val="004A79D3"/>
    <w:rsid w:val="004A7DC4"/>
    <w:rsid w:val="004A7FBF"/>
    <w:rsid w:val="004B003D"/>
    <w:rsid w:val="004B0053"/>
    <w:rsid w:val="004B0278"/>
    <w:rsid w:val="004B04CF"/>
    <w:rsid w:val="004B05E4"/>
    <w:rsid w:val="004B0933"/>
    <w:rsid w:val="004B09FB"/>
    <w:rsid w:val="004B0A82"/>
    <w:rsid w:val="004B0C90"/>
    <w:rsid w:val="004B0CBC"/>
    <w:rsid w:val="004B0CEA"/>
    <w:rsid w:val="004B1010"/>
    <w:rsid w:val="004B1600"/>
    <w:rsid w:val="004B196D"/>
    <w:rsid w:val="004B1B53"/>
    <w:rsid w:val="004B1D49"/>
    <w:rsid w:val="004B1EBC"/>
    <w:rsid w:val="004B23A1"/>
    <w:rsid w:val="004B2491"/>
    <w:rsid w:val="004B264F"/>
    <w:rsid w:val="004B27AA"/>
    <w:rsid w:val="004B281B"/>
    <w:rsid w:val="004B2A0C"/>
    <w:rsid w:val="004B2E0A"/>
    <w:rsid w:val="004B2FF5"/>
    <w:rsid w:val="004B30C9"/>
    <w:rsid w:val="004B3233"/>
    <w:rsid w:val="004B32D0"/>
    <w:rsid w:val="004B348E"/>
    <w:rsid w:val="004B3588"/>
    <w:rsid w:val="004B3A9A"/>
    <w:rsid w:val="004B3D31"/>
    <w:rsid w:val="004B3E38"/>
    <w:rsid w:val="004B3F0C"/>
    <w:rsid w:val="004B4037"/>
    <w:rsid w:val="004B42A2"/>
    <w:rsid w:val="004B4667"/>
    <w:rsid w:val="004B469E"/>
    <w:rsid w:val="004B46FB"/>
    <w:rsid w:val="004B48BA"/>
    <w:rsid w:val="004B48C5"/>
    <w:rsid w:val="004B48F3"/>
    <w:rsid w:val="004B4B5F"/>
    <w:rsid w:val="004B4C69"/>
    <w:rsid w:val="004B4FE2"/>
    <w:rsid w:val="004B508F"/>
    <w:rsid w:val="004B51CF"/>
    <w:rsid w:val="004B527B"/>
    <w:rsid w:val="004B56B7"/>
    <w:rsid w:val="004B56D7"/>
    <w:rsid w:val="004B5705"/>
    <w:rsid w:val="004B5885"/>
    <w:rsid w:val="004B59C1"/>
    <w:rsid w:val="004B5A6E"/>
    <w:rsid w:val="004B5B7A"/>
    <w:rsid w:val="004B5BF6"/>
    <w:rsid w:val="004B5F5E"/>
    <w:rsid w:val="004B65A3"/>
    <w:rsid w:val="004B6EAA"/>
    <w:rsid w:val="004B7600"/>
    <w:rsid w:val="004B79A9"/>
    <w:rsid w:val="004B7AD6"/>
    <w:rsid w:val="004B7CC7"/>
    <w:rsid w:val="004B7E26"/>
    <w:rsid w:val="004B7FF1"/>
    <w:rsid w:val="004C046A"/>
    <w:rsid w:val="004C07E9"/>
    <w:rsid w:val="004C0B2E"/>
    <w:rsid w:val="004C0BAB"/>
    <w:rsid w:val="004C142A"/>
    <w:rsid w:val="004C1979"/>
    <w:rsid w:val="004C1E7A"/>
    <w:rsid w:val="004C1EDA"/>
    <w:rsid w:val="004C200E"/>
    <w:rsid w:val="004C2720"/>
    <w:rsid w:val="004C29F0"/>
    <w:rsid w:val="004C2A03"/>
    <w:rsid w:val="004C3034"/>
    <w:rsid w:val="004C30D4"/>
    <w:rsid w:val="004C3103"/>
    <w:rsid w:val="004C31AF"/>
    <w:rsid w:val="004C35D2"/>
    <w:rsid w:val="004C3762"/>
    <w:rsid w:val="004C3CEE"/>
    <w:rsid w:val="004C4145"/>
    <w:rsid w:val="004C4826"/>
    <w:rsid w:val="004C4932"/>
    <w:rsid w:val="004C49B3"/>
    <w:rsid w:val="004C4C29"/>
    <w:rsid w:val="004C4F3E"/>
    <w:rsid w:val="004C5066"/>
    <w:rsid w:val="004C5302"/>
    <w:rsid w:val="004C5325"/>
    <w:rsid w:val="004C548D"/>
    <w:rsid w:val="004C5955"/>
    <w:rsid w:val="004C5C3E"/>
    <w:rsid w:val="004C5F5F"/>
    <w:rsid w:val="004C5FEE"/>
    <w:rsid w:val="004C67EB"/>
    <w:rsid w:val="004C6A68"/>
    <w:rsid w:val="004C6BA5"/>
    <w:rsid w:val="004C6BC2"/>
    <w:rsid w:val="004C6BFD"/>
    <w:rsid w:val="004C6DE1"/>
    <w:rsid w:val="004C70BC"/>
    <w:rsid w:val="004C70EF"/>
    <w:rsid w:val="004C73E4"/>
    <w:rsid w:val="004C75D5"/>
    <w:rsid w:val="004C76A4"/>
    <w:rsid w:val="004C7958"/>
    <w:rsid w:val="004C7CEE"/>
    <w:rsid w:val="004C7DC3"/>
    <w:rsid w:val="004C7E11"/>
    <w:rsid w:val="004D0209"/>
    <w:rsid w:val="004D02EE"/>
    <w:rsid w:val="004D0362"/>
    <w:rsid w:val="004D03C7"/>
    <w:rsid w:val="004D06FE"/>
    <w:rsid w:val="004D08CC"/>
    <w:rsid w:val="004D09A3"/>
    <w:rsid w:val="004D0A68"/>
    <w:rsid w:val="004D0AF6"/>
    <w:rsid w:val="004D0C4E"/>
    <w:rsid w:val="004D0CC6"/>
    <w:rsid w:val="004D0D3C"/>
    <w:rsid w:val="004D0DF6"/>
    <w:rsid w:val="004D1567"/>
    <w:rsid w:val="004D1667"/>
    <w:rsid w:val="004D16C9"/>
    <w:rsid w:val="004D1E36"/>
    <w:rsid w:val="004D1F42"/>
    <w:rsid w:val="004D2200"/>
    <w:rsid w:val="004D2248"/>
    <w:rsid w:val="004D2277"/>
    <w:rsid w:val="004D23E3"/>
    <w:rsid w:val="004D2477"/>
    <w:rsid w:val="004D24A6"/>
    <w:rsid w:val="004D293A"/>
    <w:rsid w:val="004D2B67"/>
    <w:rsid w:val="004D2CA3"/>
    <w:rsid w:val="004D312F"/>
    <w:rsid w:val="004D34F1"/>
    <w:rsid w:val="004D3AF4"/>
    <w:rsid w:val="004D4405"/>
    <w:rsid w:val="004D467E"/>
    <w:rsid w:val="004D46D4"/>
    <w:rsid w:val="004D480F"/>
    <w:rsid w:val="004D4944"/>
    <w:rsid w:val="004D54D0"/>
    <w:rsid w:val="004D56C8"/>
    <w:rsid w:val="004D5851"/>
    <w:rsid w:val="004D5A8C"/>
    <w:rsid w:val="004D5C08"/>
    <w:rsid w:val="004D5DF5"/>
    <w:rsid w:val="004D5FC8"/>
    <w:rsid w:val="004D5FD7"/>
    <w:rsid w:val="004D61F3"/>
    <w:rsid w:val="004D6221"/>
    <w:rsid w:val="004D628B"/>
    <w:rsid w:val="004D6503"/>
    <w:rsid w:val="004D66C1"/>
    <w:rsid w:val="004D673F"/>
    <w:rsid w:val="004D6CFA"/>
    <w:rsid w:val="004D6E0C"/>
    <w:rsid w:val="004D6FBA"/>
    <w:rsid w:val="004D7509"/>
    <w:rsid w:val="004D7593"/>
    <w:rsid w:val="004D7634"/>
    <w:rsid w:val="004D7697"/>
    <w:rsid w:val="004D7761"/>
    <w:rsid w:val="004D7806"/>
    <w:rsid w:val="004D7E34"/>
    <w:rsid w:val="004D7E76"/>
    <w:rsid w:val="004E04E2"/>
    <w:rsid w:val="004E07A6"/>
    <w:rsid w:val="004E07BB"/>
    <w:rsid w:val="004E0A48"/>
    <w:rsid w:val="004E0C03"/>
    <w:rsid w:val="004E0CC9"/>
    <w:rsid w:val="004E0D5F"/>
    <w:rsid w:val="004E0DB6"/>
    <w:rsid w:val="004E0F31"/>
    <w:rsid w:val="004E1282"/>
    <w:rsid w:val="004E1354"/>
    <w:rsid w:val="004E1520"/>
    <w:rsid w:val="004E1613"/>
    <w:rsid w:val="004E16C2"/>
    <w:rsid w:val="004E1AB7"/>
    <w:rsid w:val="004E27D0"/>
    <w:rsid w:val="004E27DD"/>
    <w:rsid w:val="004E2BF6"/>
    <w:rsid w:val="004E2ED3"/>
    <w:rsid w:val="004E2FA9"/>
    <w:rsid w:val="004E35CE"/>
    <w:rsid w:val="004E36CA"/>
    <w:rsid w:val="004E373D"/>
    <w:rsid w:val="004E37AB"/>
    <w:rsid w:val="004E38E6"/>
    <w:rsid w:val="004E39D9"/>
    <w:rsid w:val="004E3BE6"/>
    <w:rsid w:val="004E3D1C"/>
    <w:rsid w:val="004E3E98"/>
    <w:rsid w:val="004E4010"/>
    <w:rsid w:val="004E40A9"/>
    <w:rsid w:val="004E4411"/>
    <w:rsid w:val="004E4545"/>
    <w:rsid w:val="004E4698"/>
    <w:rsid w:val="004E46F4"/>
    <w:rsid w:val="004E481D"/>
    <w:rsid w:val="004E49B5"/>
    <w:rsid w:val="004E4B21"/>
    <w:rsid w:val="004E526A"/>
    <w:rsid w:val="004E52DD"/>
    <w:rsid w:val="004E5466"/>
    <w:rsid w:val="004E55DB"/>
    <w:rsid w:val="004E56D2"/>
    <w:rsid w:val="004E58E8"/>
    <w:rsid w:val="004E5963"/>
    <w:rsid w:val="004E59F0"/>
    <w:rsid w:val="004E5AA1"/>
    <w:rsid w:val="004E5B0D"/>
    <w:rsid w:val="004E5DDC"/>
    <w:rsid w:val="004E60BF"/>
    <w:rsid w:val="004E6603"/>
    <w:rsid w:val="004E6AF9"/>
    <w:rsid w:val="004E6CFF"/>
    <w:rsid w:val="004E6D35"/>
    <w:rsid w:val="004E6ECB"/>
    <w:rsid w:val="004E74E2"/>
    <w:rsid w:val="004E771F"/>
    <w:rsid w:val="004E77A0"/>
    <w:rsid w:val="004E788A"/>
    <w:rsid w:val="004E7B58"/>
    <w:rsid w:val="004E7C21"/>
    <w:rsid w:val="004F005F"/>
    <w:rsid w:val="004F0658"/>
    <w:rsid w:val="004F0A8D"/>
    <w:rsid w:val="004F0B77"/>
    <w:rsid w:val="004F0C7A"/>
    <w:rsid w:val="004F0CA0"/>
    <w:rsid w:val="004F0E5C"/>
    <w:rsid w:val="004F1041"/>
    <w:rsid w:val="004F10A3"/>
    <w:rsid w:val="004F14F0"/>
    <w:rsid w:val="004F1670"/>
    <w:rsid w:val="004F16EC"/>
    <w:rsid w:val="004F1BB8"/>
    <w:rsid w:val="004F1C2B"/>
    <w:rsid w:val="004F1DB3"/>
    <w:rsid w:val="004F203D"/>
    <w:rsid w:val="004F2F7C"/>
    <w:rsid w:val="004F2FF0"/>
    <w:rsid w:val="004F333D"/>
    <w:rsid w:val="004F347D"/>
    <w:rsid w:val="004F34BA"/>
    <w:rsid w:val="004F353D"/>
    <w:rsid w:val="004F3620"/>
    <w:rsid w:val="004F377B"/>
    <w:rsid w:val="004F3BD0"/>
    <w:rsid w:val="004F3C04"/>
    <w:rsid w:val="004F3C30"/>
    <w:rsid w:val="004F3DD4"/>
    <w:rsid w:val="004F3F0B"/>
    <w:rsid w:val="004F3F2B"/>
    <w:rsid w:val="004F3F64"/>
    <w:rsid w:val="004F3F75"/>
    <w:rsid w:val="004F403F"/>
    <w:rsid w:val="004F43B0"/>
    <w:rsid w:val="004F44BD"/>
    <w:rsid w:val="004F464E"/>
    <w:rsid w:val="004F5307"/>
    <w:rsid w:val="004F5B7E"/>
    <w:rsid w:val="004F617B"/>
    <w:rsid w:val="004F651E"/>
    <w:rsid w:val="004F654D"/>
    <w:rsid w:val="004F6784"/>
    <w:rsid w:val="004F6829"/>
    <w:rsid w:val="004F683D"/>
    <w:rsid w:val="004F6873"/>
    <w:rsid w:val="004F6A32"/>
    <w:rsid w:val="004F6AEF"/>
    <w:rsid w:val="004F6BAE"/>
    <w:rsid w:val="004F6E20"/>
    <w:rsid w:val="004F7192"/>
    <w:rsid w:val="004F72B9"/>
    <w:rsid w:val="004F7581"/>
    <w:rsid w:val="004F7594"/>
    <w:rsid w:val="004F76E2"/>
    <w:rsid w:val="004F7747"/>
    <w:rsid w:val="004F7793"/>
    <w:rsid w:val="004F7825"/>
    <w:rsid w:val="004F79AA"/>
    <w:rsid w:val="004F7B89"/>
    <w:rsid w:val="004F7D6F"/>
    <w:rsid w:val="004F7DB0"/>
    <w:rsid w:val="004F7E57"/>
    <w:rsid w:val="004F7F7D"/>
    <w:rsid w:val="005000B3"/>
    <w:rsid w:val="00500375"/>
    <w:rsid w:val="0050079C"/>
    <w:rsid w:val="00500D01"/>
    <w:rsid w:val="00500D58"/>
    <w:rsid w:val="00500D91"/>
    <w:rsid w:val="00500E8C"/>
    <w:rsid w:val="00501507"/>
    <w:rsid w:val="00501A65"/>
    <w:rsid w:val="00501B4A"/>
    <w:rsid w:val="00502705"/>
    <w:rsid w:val="00502EEC"/>
    <w:rsid w:val="00503002"/>
    <w:rsid w:val="0050310B"/>
    <w:rsid w:val="00503114"/>
    <w:rsid w:val="0050329B"/>
    <w:rsid w:val="005034EB"/>
    <w:rsid w:val="00503F1C"/>
    <w:rsid w:val="0050405D"/>
    <w:rsid w:val="00504225"/>
    <w:rsid w:val="00504419"/>
    <w:rsid w:val="0050452E"/>
    <w:rsid w:val="005046A0"/>
    <w:rsid w:val="005048D4"/>
    <w:rsid w:val="005048DC"/>
    <w:rsid w:val="00504C19"/>
    <w:rsid w:val="00504C52"/>
    <w:rsid w:val="00504CBC"/>
    <w:rsid w:val="00505176"/>
    <w:rsid w:val="00505450"/>
    <w:rsid w:val="00505546"/>
    <w:rsid w:val="005058C6"/>
    <w:rsid w:val="00505A7B"/>
    <w:rsid w:val="00505C93"/>
    <w:rsid w:val="005060AD"/>
    <w:rsid w:val="00506389"/>
    <w:rsid w:val="00506555"/>
    <w:rsid w:val="00506670"/>
    <w:rsid w:val="00506875"/>
    <w:rsid w:val="00506AE8"/>
    <w:rsid w:val="00506DD7"/>
    <w:rsid w:val="00507300"/>
    <w:rsid w:val="005078A0"/>
    <w:rsid w:val="005078C4"/>
    <w:rsid w:val="00507976"/>
    <w:rsid w:val="00507A51"/>
    <w:rsid w:val="00507B07"/>
    <w:rsid w:val="005108C3"/>
    <w:rsid w:val="00510B2B"/>
    <w:rsid w:val="00511363"/>
    <w:rsid w:val="005113FB"/>
    <w:rsid w:val="00511474"/>
    <w:rsid w:val="00511565"/>
    <w:rsid w:val="005115BF"/>
    <w:rsid w:val="005115CA"/>
    <w:rsid w:val="00511816"/>
    <w:rsid w:val="00511843"/>
    <w:rsid w:val="005118AE"/>
    <w:rsid w:val="0051219B"/>
    <w:rsid w:val="005125A4"/>
    <w:rsid w:val="0051264C"/>
    <w:rsid w:val="005126D8"/>
    <w:rsid w:val="00512A6A"/>
    <w:rsid w:val="005134EE"/>
    <w:rsid w:val="0051354D"/>
    <w:rsid w:val="005135BF"/>
    <w:rsid w:val="0051375D"/>
    <w:rsid w:val="00513A44"/>
    <w:rsid w:val="00513C08"/>
    <w:rsid w:val="00513E91"/>
    <w:rsid w:val="005143CB"/>
    <w:rsid w:val="005146FB"/>
    <w:rsid w:val="00514AF2"/>
    <w:rsid w:val="00515023"/>
    <w:rsid w:val="00515049"/>
    <w:rsid w:val="005155AF"/>
    <w:rsid w:val="00515892"/>
    <w:rsid w:val="00515F08"/>
    <w:rsid w:val="005162DA"/>
    <w:rsid w:val="0051644E"/>
    <w:rsid w:val="00516541"/>
    <w:rsid w:val="005165FD"/>
    <w:rsid w:val="0051660E"/>
    <w:rsid w:val="0051664D"/>
    <w:rsid w:val="0051699D"/>
    <w:rsid w:val="005169B1"/>
    <w:rsid w:val="00516B27"/>
    <w:rsid w:val="00516D16"/>
    <w:rsid w:val="00516E83"/>
    <w:rsid w:val="00516F55"/>
    <w:rsid w:val="00516F86"/>
    <w:rsid w:val="00516FE6"/>
    <w:rsid w:val="00517116"/>
    <w:rsid w:val="0051740E"/>
    <w:rsid w:val="005174AB"/>
    <w:rsid w:val="005174F7"/>
    <w:rsid w:val="00517BCA"/>
    <w:rsid w:val="00517CE8"/>
    <w:rsid w:val="00517D33"/>
    <w:rsid w:val="00517F9C"/>
    <w:rsid w:val="00520165"/>
    <w:rsid w:val="00520294"/>
    <w:rsid w:val="00520572"/>
    <w:rsid w:val="0052058F"/>
    <w:rsid w:val="00520597"/>
    <w:rsid w:val="0052063D"/>
    <w:rsid w:val="005207A4"/>
    <w:rsid w:val="00520835"/>
    <w:rsid w:val="00520E68"/>
    <w:rsid w:val="00520EAE"/>
    <w:rsid w:val="00521015"/>
    <w:rsid w:val="005212D8"/>
    <w:rsid w:val="005212E4"/>
    <w:rsid w:val="00521346"/>
    <w:rsid w:val="00521384"/>
    <w:rsid w:val="00521603"/>
    <w:rsid w:val="00521973"/>
    <w:rsid w:val="00521979"/>
    <w:rsid w:val="00521CBA"/>
    <w:rsid w:val="00521EAF"/>
    <w:rsid w:val="005220AF"/>
    <w:rsid w:val="00522183"/>
    <w:rsid w:val="00522B64"/>
    <w:rsid w:val="00522CB2"/>
    <w:rsid w:val="00522EB5"/>
    <w:rsid w:val="00522F00"/>
    <w:rsid w:val="00522F01"/>
    <w:rsid w:val="00523186"/>
    <w:rsid w:val="005235A1"/>
    <w:rsid w:val="00523820"/>
    <w:rsid w:val="005238AC"/>
    <w:rsid w:val="005238C5"/>
    <w:rsid w:val="00523A12"/>
    <w:rsid w:val="00523DEC"/>
    <w:rsid w:val="00523E9F"/>
    <w:rsid w:val="00524444"/>
    <w:rsid w:val="00524589"/>
    <w:rsid w:val="005249A2"/>
    <w:rsid w:val="00524C97"/>
    <w:rsid w:val="005252CE"/>
    <w:rsid w:val="005252E3"/>
    <w:rsid w:val="0052532A"/>
    <w:rsid w:val="005254F0"/>
    <w:rsid w:val="005255BD"/>
    <w:rsid w:val="005256C9"/>
    <w:rsid w:val="0052575A"/>
    <w:rsid w:val="00525A0C"/>
    <w:rsid w:val="00525ABD"/>
    <w:rsid w:val="00525E52"/>
    <w:rsid w:val="00525F6B"/>
    <w:rsid w:val="005260FA"/>
    <w:rsid w:val="005262BF"/>
    <w:rsid w:val="00526352"/>
    <w:rsid w:val="0052660D"/>
    <w:rsid w:val="0052681C"/>
    <w:rsid w:val="00526A15"/>
    <w:rsid w:val="00526C8D"/>
    <w:rsid w:val="00526DA3"/>
    <w:rsid w:val="005273EF"/>
    <w:rsid w:val="005276EC"/>
    <w:rsid w:val="00527909"/>
    <w:rsid w:val="00527AAA"/>
    <w:rsid w:val="00527DA8"/>
    <w:rsid w:val="0053007F"/>
    <w:rsid w:val="00530180"/>
    <w:rsid w:val="00530407"/>
    <w:rsid w:val="00530C91"/>
    <w:rsid w:val="005311D3"/>
    <w:rsid w:val="005312AD"/>
    <w:rsid w:val="00531396"/>
    <w:rsid w:val="005313C8"/>
    <w:rsid w:val="005314E6"/>
    <w:rsid w:val="00531814"/>
    <w:rsid w:val="005318C2"/>
    <w:rsid w:val="00531AD2"/>
    <w:rsid w:val="00531BEE"/>
    <w:rsid w:val="00531F9A"/>
    <w:rsid w:val="005321E3"/>
    <w:rsid w:val="0053220A"/>
    <w:rsid w:val="0053237F"/>
    <w:rsid w:val="005323AA"/>
    <w:rsid w:val="005323B5"/>
    <w:rsid w:val="00532816"/>
    <w:rsid w:val="00532B14"/>
    <w:rsid w:val="00532B57"/>
    <w:rsid w:val="00532B71"/>
    <w:rsid w:val="00532EB9"/>
    <w:rsid w:val="005330B9"/>
    <w:rsid w:val="0053317E"/>
    <w:rsid w:val="00533439"/>
    <w:rsid w:val="005334A6"/>
    <w:rsid w:val="005336E7"/>
    <w:rsid w:val="00534666"/>
    <w:rsid w:val="005346DB"/>
    <w:rsid w:val="005347C3"/>
    <w:rsid w:val="00534BA5"/>
    <w:rsid w:val="00535037"/>
    <w:rsid w:val="00535AE0"/>
    <w:rsid w:val="00535C42"/>
    <w:rsid w:val="00535F96"/>
    <w:rsid w:val="00536054"/>
    <w:rsid w:val="005362AF"/>
    <w:rsid w:val="0053637A"/>
    <w:rsid w:val="00536634"/>
    <w:rsid w:val="00536644"/>
    <w:rsid w:val="0053687B"/>
    <w:rsid w:val="005369BC"/>
    <w:rsid w:val="005369D3"/>
    <w:rsid w:val="00536A64"/>
    <w:rsid w:val="00536B2A"/>
    <w:rsid w:val="00536B74"/>
    <w:rsid w:val="00536B9A"/>
    <w:rsid w:val="00536B9B"/>
    <w:rsid w:val="00536CB5"/>
    <w:rsid w:val="00536D53"/>
    <w:rsid w:val="005373D5"/>
    <w:rsid w:val="0053776B"/>
    <w:rsid w:val="00537950"/>
    <w:rsid w:val="00537AB5"/>
    <w:rsid w:val="00537B89"/>
    <w:rsid w:val="00537CEA"/>
    <w:rsid w:val="00537EF5"/>
    <w:rsid w:val="0054001C"/>
    <w:rsid w:val="00540024"/>
    <w:rsid w:val="005401BA"/>
    <w:rsid w:val="00540411"/>
    <w:rsid w:val="00540585"/>
    <w:rsid w:val="005405F0"/>
    <w:rsid w:val="00540665"/>
    <w:rsid w:val="0054071D"/>
    <w:rsid w:val="00540CD3"/>
    <w:rsid w:val="00540DA4"/>
    <w:rsid w:val="0054106D"/>
    <w:rsid w:val="00541228"/>
    <w:rsid w:val="00541311"/>
    <w:rsid w:val="005414E6"/>
    <w:rsid w:val="0054193A"/>
    <w:rsid w:val="0054194D"/>
    <w:rsid w:val="00541B3A"/>
    <w:rsid w:val="0054255D"/>
    <w:rsid w:val="005428E8"/>
    <w:rsid w:val="00543588"/>
    <w:rsid w:val="00543698"/>
    <w:rsid w:val="00543CBB"/>
    <w:rsid w:val="00543CFE"/>
    <w:rsid w:val="005440A2"/>
    <w:rsid w:val="00544179"/>
    <w:rsid w:val="00544225"/>
    <w:rsid w:val="00544265"/>
    <w:rsid w:val="00544A6D"/>
    <w:rsid w:val="00544C9E"/>
    <w:rsid w:val="00544E5E"/>
    <w:rsid w:val="00545366"/>
    <w:rsid w:val="0054546D"/>
    <w:rsid w:val="005459A2"/>
    <w:rsid w:val="005459C5"/>
    <w:rsid w:val="00545CA7"/>
    <w:rsid w:val="00545E22"/>
    <w:rsid w:val="00545E55"/>
    <w:rsid w:val="00546037"/>
    <w:rsid w:val="00546043"/>
    <w:rsid w:val="005464CB"/>
    <w:rsid w:val="00546634"/>
    <w:rsid w:val="00546708"/>
    <w:rsid w:val="00546B2A"/>
    <w:rsid w:val="00546D63"/>
    <w:rsid w:val="00546D83"/>
    <w:rsid w:val="00546EF2"/>
    <w:rsid w:val="0054713D"/>
    <w:rsid w:val="00547630"/>
    <w:rsid w:val="0054797E"/>
    <w:rsid w:val="00547CB3"/>
    <w:rsid w:val="00547CE4"/>
    <w:rsid w:val="00547FDC"/>
    <w:rsid w:val="0055016C"/>
    <w:rsid w:val="0055061D"/>
    <w:rsid w:val="00550783"/>
    <w:rsid w:val="00550835"/>
    <w:rsid w:val="00550A20"/>
    <w:rsid w:val="00550AB5"/>
    <w:rsid w:val="00550AC3"/>
    <w:rsid w:val="00551340"/>
    <w:rsid w:val="0055145E"/>
    <w:rsid w:val="00551577"/>
    <w:rsid w:val="00551A84"/>
    <w:rsid w:val="00551CF6"/>
    <w:rsid w:val="00551E48"/>
    <w:rsid w:val="00552173"/>
    <w:rsid w:val="005523B0"/>
    <w:rsid w:val="005525EE"/>
    <w:rsid w:val="00552A46"/>
    <w:rsid w:val="00552EB3"/>
    <w:rsid w:val="00552FA6"/>
    <w:rsid w:val="0055322F"/>
    <w:rsid w:val="0055393B"/>
    <w:rsid w:val="00553D7A"/>
    <w:rsid w:val="00553E34"/>
    <w:rsid w:val="00553F03"/>
    <w:rsid w:val="00553FF6"/>
    <w:rsid w:val="005540A4"/>
    <w:rsid w:val="005540A6"/>
    <w:rsid w:val="005547A8"/>
    <w:rsid w:val="00555057"/>
    <w:rsid w:val="00555197"/>
    <w:rsid w:val="005554BC"/>
    <w:rsid w:val="00555549"/>
    <w:rsid w:val="005555C4"/>
    <w:rsid w:val="005559D3"/>
    <w:rsid w:val="00555C5C"/>
    <w:rsid w:val="00555F90"/>
    <w:rsid w:val="005560BA"/>
    <w:rsid w:val="00556130"/>
    <w:rsid w:val="0055646A"/>
    <w:rsid w:val="00556774"/>
    <w:rsid w:val="00556BB6"/>
    <w:rsid w:val="00556BC9"/>
    <w:rsid w:val="00557156"/>
    <w:rsid w:val="00557245"/>
    <w:rsid w:val="005572F4"/>
    <w:rsid w:val="005573C6"/>
    <w:rsid w:val="00557969"/>
    <w:rsid w:val="00557F40"/>
    <w:rsid w:val="00560044"/>
    <w:rsid w:val="00560549"/>
    <w:rsid w:val="00560CF1"/>
    <w:rsid w:val="00560F67"/>
    <w:rsid w:val="0056117E"/>
    <w:rsid w:val="005617B4"/>
    <w:rsid w:val="00561877"/>
    <w:rsid w:val="00561939"/>
    <w:rsid w:val="00561B2F"/>
    <w:rsid w:val="00561C86"/>
    <w:rsid w:val="00561E11"/>
    <w:rsid w:val="00561ED7"/>
    <w:rsid w:val="0056206A"/>
    <w:rsid w:val="005620A7"/>
    <w:rsid w:val="00562384"/>
    <w:rsid w:val="00562539"/>
    <w:rsid w:val="00562546"/>
    <w:rsid w:val="005628BA"/>
    <w:rsid w:val="005628FF"/>
    <w:rsid w:val="00562A98"/>
    <w:rsid w:val="00562D4A"/>
    <w:rsid w:val="00562F9E"/>
    <w:rsid w:val="00563008"/>
    <w:rsid w:val="00563231"/>
    <w:rsid w:val="005632E9"/>
    <w:rsid w:val="005638FE"/>
    <w:rsid w:val="00563929"/>
    <w:rsid w:val="0056411D"/>
    <w:rsid w:val="00564882"/>
    <w:rsid w:val="005648B0"/>
    <w:rsid w:val="005649AD"/>
    <w:rsid w:val="00564E46"/>
    <w:rsid w:val="00564F37"/>
    <w:rsid w:val="0056520F"/>
    <w:rsid w:val="00565595"/>
    <w:rsid w:val="0056561D"/>
    <w:rsid w:val="00565B08"/>
    <w:rsid w:val="00565BAE"/>
    <w:rsid w:val="00565CE7"/>
    <w:rsid w:val="00566170"/>
    <w:rsid w:val="00566610"/>
    <w:rsid w:val="00566C7B"/>
    <w:rsid w:val="00566F3B"/>
    <w:rsid w:val="00566F8C"/>
    <w:rsid w:val="00567056"/>
    <w:rsid w:val="00567107"/>
    <w:rsid w:val="005672F1"/>
    <w:rsid w:val="00567549"/>
    <w:rsid w:val="00567B40"/>
    <w:rsid w:val="00567CA9"/>
    <w:rsid w:val="00567DE2"/>
    <w:rsid w:val="00570022"/>
    <w:rsid w:val="0057023A"/>
    <w:rsid w:val="005704F5"/>
    <w:rsid w:val="00570A35"/>
    <w:rsid w:val="00570A4C"/>
    <w:rsid w:val="00570DA0"/>
    <w:rsid w:val="00570F63"/>
    <w:rsid w:val="00571464"/>
    <w:rsid w:val="0057198A"/>
    <w:rsid w:val="00571A48"/>
    <w:rsid w:val="00571A8B"/>
    <w:rsid w:val="00571ABF"/>
    <w:rsid w:val="00571FAC"/>
    <w:rsid w:val="005720DF"/>
    <w:rsid w:val="005720EF"/>
    <w:rsid w:val="005728C0"/>
    <w:rsid w:val="00572B4D"/>
    <w:rsid w:val="00572D1B"/>
    <w:rsid w:val="005737A6"/>
    <w:rsid w:val="005737BC"/>
    <w:rsid w:val="00573BFC"/>
    <w:rsid w:val="00573CF2"/>
    <w:rsid w:val="00573FEA"/>
    <w:rsid w:val="00574288"/>
    <w:rsid w:val="005744AD"/>
    <w:rsid w:val="00574500"/>
    <w:rsid w:val="005749AE"/>
    <w:rsid w:val="00574BB1"/>
    <w:rsid w:val="00574BBC"/>
    <w:rsid w:val="00575434"/>
    <w:rsid w:val="00575724"/>
    <w:rsid w:val="005759CF"/>
    <w:rsid w:val="00575C6B"/>
    <w:rsid w:val="00576117"/>
    <w:rsid w:val="0057615D"/>
    <w:rsid w:val="0057616A"/>
    <w:rsid w:val="00576939"/>
    <w:rsid w:val="005769A9"/>
    <w:rsid w:val="005769DB"/>
    <w:rsid w:val="005769F7"/>
    <w:rsid w:val="00576B3F"/>
    <w:rsid w:val="00576F3F"/>
    <w:rsid w:val="00576FC1"/>
    <w:rsid w:val="00577133"/>
    <w:rsid w:val="00577158"/>
    <w:rsid w:val="005775D6"/>
    <w:rsid w:val="00577798"/>
    <w:rsid w:val="00577D2D"/>
    <w:rsid w:val="00580152"/>
    <w:rsid w:val="0058025B"/>
    <w:rsid w:val="00580828"/>
    <w:rsid w:val="00580D14"/>
    <w:rsid w:val="00580F5D"/>
    <w:rsid w:val="00581242"/>
    <w:rsid w:val="0058134D"/>
    <w:rsid w:val="005817CE"/>
    <w:rsid w:val="005818F8"/>
    <w:rsid w:val="00581BCB"/>
    <w:rsid w:val="00581CC0"/>
    <w:rsid w:val="00581D2B"/>
    <w:rsid w:val="00581DC3"/>
    <w:rsid w:val="00581E2A"/>
    <w:rsid w:val="005822A0"/>
    <w:rsid w:val="005822BA"/>
    <w:rsid w:val="005823FF"/>
    <w:rsid w:val="005824B8"/>
    <w:rsid w:val="005827D2"/>
    <w:rsid w:val="0058288E"/>
    <w:rsid w:val="00582934"/>
    <w:rsid w:val="005829C2"/>
    <w:rsid w:val="00582CDF"/>
    <w:rsid w:val="00582CF2"/>
    <w:rsid w:val="00582E89"/>
    <w:rsid w:val="005830DA"/>
    <w:rsid w:val="005831A3"/>
    <w:rsid w:val="00583313"/>
    <w:rsid w:val="0058333F"/>
    <w:rsid w:val="005837DC"/>
    <w:rsid w:val="00583828"/>
    <w:rsid w:val="00583C8D"/>
    <w:rsid w:val="005844EE"/>
    <w:rsid w:val="00584C71"/>
    <w:rsid w:val="00584D66"/>
    <w:rsid w:val="005858B0"/>
    <w:rsid w:val="00585BB6"/>
    <w:rsid w:val="00585BBE"/>
    <w:rsid w:val="00585D51"/>
    <w:rsid w:val="005862F5"/>
    <w:rsid w:val="00586762"/>
    <w:rsid w:val="00586A69"/>
    <w:rsid w:val="00586A8E"/>
    <w:rsid w:val="00586C9E"/>
    <w:rsid w:val="005870EB"/>
    <w:rsid w:val="00587172"/>
    <w:rsid w:val="005877F2"/>
    <w:rsid w:val="005878E3"/>
    <w:rsid w:val="0058799C"/>
    <w:rsid w:val="00587A57"/>
    <w:rsid w:val="00587C3E"/>
    <w:rsid w:val="00587C72"/>
    <w:rsid w:val="005901EB"/>
    <w:rsid w:val="005906CE"/>
    <w:rsid w:val="00590AEE"/>
    <w:rsid w:val="00590BB8"/>
    <w:rsid w:val="00590CE8"/>
    <w:rsid w:val="00590DCE"/>
    <w:rsid w:val="00590E65"/>
    <w:rsid w:val="0059121E"/>
    <w:rsid w:val="00591241"/>
    <w:rsid w:val="005913BF"/>
    <w:rsid w:val="00591499"/>
    <w:rsid w:val="00591578"/>
    <w:rsid w:val="005918B4"/>
    <w:rsid w:val="00591DE2"/>
    <w:rsid w:val="00591E74"/>
    <w:rsid w:val="005920F2"/>
    <w:rsid w:val="005921FF"/>
    <w:rsid w:val="005925D6"/>
    <w:rsid w:val="005927B7"/>
    <w:rsid w:val="005928F8"/>
    <w:rsid w:val="00592CA9"/>
    <w:rsid w:val="00592DB4"/>
    <w:rsid w:val="00593689"/>
    <w:rsid w:val="00593976"/>
    <w:rsid w:val="00593A39"/>
    <w:rsid w:val="00593D0C"/>
    <w:rsid w:val="005943B4"/>
    <w:rsid w:val="00594586"/>
    <w:rsid w:val="00594707"/>
    <w:rsid w:val="00594D2F"/>
    <w:rsid w:val="00594E0A"/>
    <w:rsid w:val="00594EDB"/>
    <w:rsid w:val="00595359"/>
    <w:rsid w:val="005954E6"/>
    <w:rsid w:val="00595695"/>
    <w:rsid w:val="0059591F"/>
    <w:rsid w:val="00595B14"/>
    <w:rsid w:val="00595C02"/>
    <w:rsid w:val="0059647D"/>
    <w:rsid w:val="00596528"/>
    <w:rsid w:val="005967BC"/>
    <w:rsid w:val="00596BA4"/>
    <w:rsid w:val="00596BB9"/>
    <w:rsid w:val="00596C7C"/>
    <w:rsid w:val="005973C4"/>
    <w:rsid w:val="00597B00"/>
    <w:rsid w:val="00597BC1"/>
    <w:rsid w:val="005A0443"/>
    <w:rsid w:val="005A0804"/>
    <w:rsid w:val="005A0A09"/>
    <w:rsid w:val="005A0CB3"/>
    <w:rsid w:val="005A0CB7"/>
    <w:rsid w:val="005A101F"/>
    <w:rsid w:val="005A114A"/>
    <w:rsid w:val="005A1196"/>
    <w:rsid w:val="005A1210"/>
    <w:rsid w:val="005A167F"/>
    <w:rsid w:val="005A2030"/>
    <w:rsid w:val="005A21DB"/>
    <w:rsid w:val="005A26C2"/>
    <w:rsid w:val="005A2829"/>
    <w:rsid w:val="005A2836"/>
    <w:rsid w:val="005A28F2"/>
    <w:rsid w:val="005A29BF"/>
    <w:rsid w:val="005A2A32"/>
    <w:rsid w:val="005A2C86"/>
    <w:rsid w:val="005A303E"/>
    <w:rsid w:val="005A3173"/>
    <w:rsid w:val="005A39C6"/>
    <w:rsid w:val="005A3A8C"/>
    <w:rsid w:val="005A3CB4"/>
    <w:rsid w:val="005A4095"/>
    <w:rsid w:val="005A442A"/>
    <w:rsid w:val="005A45D9"/>
    <w:rsid w:val="005A4995"/>
    <w:rsid w:val="005A4ED6"/>
    <w:rsid w:val="005A4EE1"/>
    <w:rsid w:val="005A4F7B"/>
    <w:rsid w:val="005A526B"/>
    <w:rsid w:val="005A5BA2"/>
    <w:rsid w:val="005A61C9"/>
    <w:rsid w:val="005A61D7"/>
    <w:rsid w:val="005A61F5"/>
    <w:rsid w:val="005A64E3"/>
    <w:rsid w:val="005A65EE"/>
    <w:rsid w:val="005A67DC"/>
    <w:rsid w:val="005A6A15"/>
    <w:rsid w:val="005A6C1A"/>
    <w:rsid w:val="005A6CBD"/>
    <w:rsid w:val="005A6DDC"/>
    <w:rsid w:val="005A7237"/>
    <w:rsid w:val="005B0432"/>
    <w:rsid w:val="005B06F7"/>
    <w:rsid w:val="005B0CEE"/>
    <w:rsid w:val="005B0D3D"/>
    <w:rsid w:val="005B123A"/>
    <w:rsid w:val="005B1242"/>
    <w:rsid w:val="005B147E"/>
    <w:rsid w:val="005B14B5"/>
    <w:rsid w:val="005B1544"/>
    <w:rsid w:val="005B154E"/>
    <w:rsid w:val="005B15F2"/>
    <w:rsid w:val="005B1673"/>
    <w:rsid w:val="005B1A84"/>
    <w:rsid w:val="005B1B5E"/>
    <w:rsid w:val="005B222E"/>
    <w:rsid w:val="005B23B7"/>
    <w:rsid w:val="005B2423"/>
    <w:rsid w:val="005B245F"/>
    <w:rsid w:val="005B2484"/>
    <w:rsid w:val="005B26A9"/>
    <w:rsid w:val="005B2738"/>
    <w:rsid w:val="005B2745"/>
    <w:rsid w:val="005B277B"/>
    <w:rsid w:val="005B2BF6"/>
    <w:rsid w:val="005B2E63"/>
    <w:rsid w:val="005B32B9"/>
    <w:rsid w:val="005B33A9"/>
    <w:rsid w:val="005B37DF"/>
    <w:rsid w:val="005B3DDC"/>
    <w:rsid w:val="005B3EB2"/>
    <w:rsid w:val="005B40CD"/>
    <w:rsid w:val="005B4129"/>
    <w:rsid w:val="005B425F"/>
    <w:rsid w:val="005B458B"/>
    <w:rsid w:val="005B46A6"/>
    <w:rsid w:val="005B4A5B"/>
    <w:rsid w:val="005B4B57"/>
    <w:rsid w:val="005B4B58"/>
    <w:rsid w:val="005B4BFA"/>
    <w:rsid w:val="005B4E5F"/>
    <w:rsid w:val="005B5023"/>
    <w:rsid w:val="005B5045"/>
    <w:rsid w:val="005B5127"/>
    <w:rsid w:val="005B5295"/>
    <w:rsid w:val="005B5649"/>
    <w:rsid w:val="005B5BDB"/>
    <w:rsid w:val="005B5ECC"/>
    <w:rsid w:val="005B5ED4"/>
    <w:rsid w:val="005B5F32"/>
    <w:rsid w:val="005B600B"/>
    <w:rsid w:val="005B609A"/>
    <w:rsid w:val="005B60DD"/>
    <w:rsid w:val="005B60F3"/>
    <w:rsid w:val="005B633A"/>
    <w:rsid w:val="005B63D9"/>
    <w:rsid w:val="005B64D7"/>
    <w:rsid w:val="005B6677"/>
    <w:rsid w:val="005B6763"/>
    <w:rsid w:val="005B6809"/>
    <w:rsid w:val="005B6C13"/>
    <w:rsid w:val="005B71BB"/>
    <w:rsid w:val="005B7290"/>
    <w:rsid w:val="005B72EB"/>
    <w:rsid w:val="005B781D"/>
    <w:rsid w:val="005B7DD7"/>
    <w:rsid w:val="005B7E24"/>
    <w:rsid w:val="005C02C3"/>
    <w:rsid w:val="005C0438"/>
    <w:rsid w:val="005C049F"/>
    <w:rsid w:val="005C04EE"/>
    <w:rsid w:val="005C064C"/>
    <w:rsid w:val="005C07D9"/>
    <w:rsid w:val="005C0C47"/>
    <w:rsid w:val="005C0C98"/>
    <w:rsid w:val="005C1258"/>
    <w:rsid w:val="005C1293"/>
    <w:rsid w:val="005C12B1"/>
    <w:rsid w:val="005C1940"/>
    <w:rsid w:val="005C1B28"/>
    <w:rsid w:val="005C1CBF"/>
    <w:rsid w:val="005C1D89"/>
    <w:rsid w:val="005C207E"/>
    <w:rsid w:val="005C21EA"/>
    <w:rsid w:val="005C259B"/>
    <w:rsid w:val="005C259E"/>
    <w:rsid w:val="005C2771"/>
    <w:rsid w:val="005C279C"/>
    <w:rsid w:val="005C28E1"/>
    <w:rsid w:val="005C29D7"/>
    <w:rsid w:val="005C2A13"/>
    <w:rsid w:val="005C2A16"/>
    <w:rsid w:val="005C2BBC"/>
    <w:rsid w:val="005C2BE5"/>
    <w:rsid w:val="005C2CD7"/>
    <w:rsid w:val="005C308F"/>
    <w:rsid w:val="005C418D"/>
    <w:rsid w:val="005C41B1"/>
    <w:rsid w:val="005C436D"/>
    <w:rsid w:val="005C4395"/>
    <w:rsid w:val="005C480F"/>
    <w:rsid w:val="005C486D"/>
    <w:rsid w:val="005C48AC"/>
    <w:rsid w:val="005C4A96"/>
    <w:rsid w:val="005C50F3"/>
    <w:rsid w:val="005C51EC"/>
    <w:rsid w:val="005C5200"/>
    <w:rsid w:val="005C52E6"/>
    <w:rsid w:val="005C5B65"/>
    <w:rsid w:val="005C5CFA"/>
    <w:rsid w:val="005C5D6D"/>
    <w:rsid w:val="005C5ED7"/>
    <w:rsid w:val="005C604A"/>
    <w:rsid w:val="005C6479"/>
    <w:rsid w:val="005C66FD"/>
    <w:rsid w:val="005C6706"/>
    <w:rsid w:val="005C68B9"/>
    <w:rsid w:val="005C6A84"/>
    <w:rsid w:val="005C6E3F"/>
    <w:rsid w:val="005C6EC1"/>
    <w:rsid w:val="005C7056"/>
    <w:rsid w:val="005C70F2"/>
    <w:rsid w:val="005C72CA"/>
    <w:rsid w:val="005C7385"/>
    <w:rsid w:val="005C7400"/>
    <w:rsid w:val="005C76B9"/>
    <w:rsid w:val="005D013F"/>
    <w:rsid w:val="005D030B"/>
    <w:rsid w:val="005D03F7"/>
    <w:rsid w:val="005D0448"/>
    <w:rsid w:val="005D089A"/>
    <w:rsid w:val="005D0A02"/>
    <w:rsid w:val="005D0A4D"/>
    <w:rsid w:val="005D0BC2"/>
    <w:rsid w:val="005D0F6E"/>
    <w:rsid w:val="005D100F"/>
    <w:rsid w:val="005D1041"/>
    <w:rsid w:val="005D1047"/>
    <w:rsid w:val="005D1171"/>
    <w:rsid w:val="005D11D6"/>
    <w:rsid w:val="005D1258"/>
    <w:rsid w:val="005D1276"/>
    <w:rsid w:val="005D12A6"/>
    <w:rsid w:val="005D1371"/>
    <w:rsid w:val="005D13B5"/>
    <w:rsid w:val="005D14B8"/>
    <w:rsid w:val="005D1511"/>
    <w:rsid w:val="005D176D"/>
    <w:rsid w:val="005D182F"/>
    <w:rsid w:val="005D1AE6"/>
    <w:rsid w:val="005D1C1A"/>
    <w:rsid w:val="005D20CA"/>
    <w:rsid w:val="005D2121"/>
    <w:rsid w:val="005D228F"/>
    <w:rsid w:val="005D238E"/>
    <w:rsid w:val="005D282B"/>
    <w:rsid w:val="005D2B4A"/>
    <w:rsid w:val="005D2D61"/>
    <w:rsid w:val="005D2D78"/>
    <w:rsid w:val="005D2F7C"/>
    <w:rsid w:val="005D321E"/>
    <w:rsid w:val="005D34F8"/>
    <w:rsid w:val="005D3795"/>
    <w:rsid w:val="005D3851"/>
    <w:rsid w:val="005D3BF9"/>
    <w:rsid w:val="005D3CCF"/>
    <w:rsid w:val="005D467B"/>
    <w:rsid w:val="005D4A6A"/>
    <w:rsid w:val="005D4BFA"/>
    <w:rsid w:val="005D4E4B"/>
    <w:rsid w:val="005D4F94"/>
    <w:rsid w:val="005D5328"/>
    <w:rsid w:val="005D5420"/>
    <w:rsid w:val="005D55EE"/>
    <w:rsid w:val="005D5762"/>
    <w:rsid w:val="005D5769"/>
    <w:rsid w:val="005D58AE"/>
    <w:rsid w:val="005D5F2D"/>
    <w:rsid w:val="005D602B"/>
    <w:rsid w:val="005D6173"/>
    <w:rsid w:val="005D637E"/>
    <w:rsid w:val="005D648C"/>
    <w:rsid w:val="005D649F"/>
    <w:rsid w:val="005D65D2"/>
    <w:rsid w:val="005D6740"/>
    <w:rsid w:val="005D70E0"/>
    <w:rsid w:val="005D72CB"/>
    <w:rsid w:val="005D7365"/>
    <w:rsid w:val="005D7764"/>
    <w:rsid w:val="005D77B1"/>
    <w:rsid w:val="005D7822"/>
    <w:rsid w:val="005D7B48"/>
    <w:rsid w:val="005D7D65"/>
    <w:rsid w:val="005D7E06"/>
    <w:rsid w:val="005D7F06"/>
    <w:rsid w:val="005D7F68"/>
    <w:rsid w:val="005E0014"/>
    <w:rsid w:val="005E0198"/>
    <w:rsid w:val="005E02F5"/>
    <w:rsid w:val="005E032C"/>
    <w:rsid w:val="005E051B"/>
    <w:rsid w:val="005E0AA4"/>
    <w:rsid w:val="005E1162"/>
    <w:rsid w:val="005E176F"/>
    <w:rsid w:val="005E1938"/>
    <w:rsid w:val="005E19C2"/>
    <w:rsid w:val="005E1AAD"/>
    <w:rsid w:val="005E2204"/>
    <w:rsid w:val="005E22EB"/>
    <w:rsid w:val="005E2AC8"/>
    <w:rsid w:val="005E2AE5"/>
    <w:rsid w:val="005E329D"/>
    <w:rsid w:val="005E33E3"/>
    <w:rsid w:val="005E3648"/>
    <w:rsid w:val="005E3793"/>
    <w:rsid w:val="005E396A"/>
    <w:rsid w:val="005E3CDA"/>
    <w:rsid w:val="005E3F65"/>
    <w:rsid w:val="005E3FEF"/>
    <w:rsid w:val="005E43F0"/>
    <w:rsid w:val="005E4BB8"/>
    <w:rsid w:val="005E4EF4"/>
    <w:rsid w:val="005E53A5"/>
    <w:rsid w:val="005E5803"/>
    <w:rsid w:val="005E6652"/>
    <w:rsid w:val="005E690C"/>
    <w:rsid w:val="005E699F"/>
    <w:rsid w:val="005E6A0A"/>
    <w:rsid w:val="005E6B05"/>
    <w:rsid w:val="005E6B95"/>
    <w:rsid w:val="005E6BA5"/>
    <w:rsid w:val="005E6D2D"/>
    <w:rsid w:val="005E6D90"/>
    <w:rsid w:val="005E6E5F"/>
    <w:rsid w:val="005E6F76"/>
    <w:rsid w:val="005E6F81"/>
    <w:rsid w:val="005E6F85"/>
    <w:rsid w:val="005E6FCC"/>
    <w:rsid w:val="005E71FA"/>
    <w:rsid w:val="005E73AD"/>
    <w:rsid w:val="005E74CD"/>
    <w:rsid w:val="005E7756"/>
    <w:rsid w:val="005E7D3E"/>
    <w:rsid w:val="005E7DBD"/>
    <w:rsid w:val="005E7DCF"/>
    <w:rsid w:val="005E7F32"/>
    <w:rsid w:val="005F0609"/>
    <w:rsid w:val="005F07F3"/>
    <w:rsid w:val="005F0B68"/>
    <w:rsid w:val="005F0F46"/>
    <w:rsid w:val="005F1116"/>
    <w:rsid w:val="005F134D"/>
    <w:rsid w:val="005F157D"/>
    <w:rsid w:val="005F1822"/>
    <w:rsid w:val="005F1ADC"/>
    <w:rsid w:val="005F1E15"/>
    <w:rsid w:val="005F1E4C"/>
    <w:rsid w:val="005F21B6"/>
    <w:rsid w:val="005F23D2"/>
    <w:rsid w:val="005F293E"/>
    <w:rsid w:val="005F2B54"/>
    <w:rsid w:val="005F2CB7"/>
    <w:rsid w:val="005F2FBF"/>
    <w:rsid w:val="005F30B1"/>
    <w:rsid w:val="005F3682"/>
    <w:rsid w:val="005F3B15"/>
    <w:rsid w:val="005F3C5C"/>
    <w:rsid w:val="005F4333"/>
    <w:rsid w:val="005F44C4"/>
    <w:rsid w:val="005F4AFF"/>
    <w:rsid w:val="005F4B74"/>
    <w:rsid w:val="005F4CEE"/>
    <w:rsid w:val="005F4D2A"/>
    <w:rsid w:val="005F5953"/>
    <w:rsid w:val="005F5B44"/>
    <w:rsid w:val="005F5B76"/>
    <w:rsid w:val="005F5B86"/>
    <w:rsid w:val="005F5D8D"/>
    <w:rsid w:val="005F6264"/>
    <w:rsid w:val="005F6470"/>
    <w:rsid w:val="005F649C"/>
    <w:rsid w:val="005F654F"/>
    <w:rsid w:val="005F669E"/>
    <w:rsid w:val="005F6935"/>
    <w:rsid w:val="005F69D9"/>
    <w:rsid w:val="005F6F7E"/>
    <w:rsid w:val="005F73AF"/>
    <w:rsid w:val="005F7475"/>
    <w:rsid w:val="005F7ACD"/>
    <w:rsid w:val="005F7B7E"/>
    <w:rsid w:val="005F7BEB"/>
    <w:rsid w:val="005F7CB8"/>
    <w:rsid w:val="005F7D69"/>
    <w:rsid w:val="006000DF"/>
    <w:rsid w:val="006001EA"/>
    <w:rsid w:val="0060025A"/>
    <w:rsid w:val="0060035E"/>
    <w:rsid w:val="00600633"/>
    <w:rsid w:val="00600D84"/>
    <w:rsid w:val="00600F54"/>
    <w:rsid w:val="00601277"/>
    <w:rsid w:val="00601A32"/>
    <w:rsid w:val="006023F3"/>
    <w:rsid w:val="00602578"/>
    <w:rsid w:val="00602809"/>
    <w:rsid w:val="00602E0E"/>
    <w:rsid w:val="00602F8C"/>
    <w:rsid w:val="00603028"/>
    <w:rsid w:val="00603CAC"/>
    <w:rsid w:val="00603DF9"/>
    <w:rsid w:val="00603F72"/>
    <w:rsid w:val="00604004"/>
    <w:rsid w:val="0060406B"/>
    <w:rsid w:val="00604331"/>
    <w:rsid w:val="006043D5"/>
    <w:rsid w:val="006044FB"/>
    <w:rsid w:val="00604653"/>
    <w:rsid w:val="00604956"/>
    <w:rsid w:val="00604B23"/>
    <w:rsid w:val="0060532D"/>
    <w:rsid w:val="0060534C"/>
    <w:rsid w:val="006053CD"/>
    <w:rsid w:val="006054E2"/>
    <w:rsid w:val="006058C0"/>
    <w:rsid w:val="0060593D"/>
    <w:rsid w:val="006059A9"/>
    <w:rsid w:val="00606637"/>
    <w:rsid w:val="0060685C"/>
    <w:rsid w:val="00606936"/>
    <w:rsid w:val="00606A64"/>
    <w:rsid w:val="00606C84"/>
    <w:rsid w:val="00606EA2"/>
    <w:rsid w:val="00606ED0"/>
    <w:rsid w:val="00606FBA"/>
    <w:rsid w:val="006070DD"/>
    <w:rsid w:val="00607164"/>
    <w:rsid w:val="006072F6"/>
    <w:rsid w:val="006074F9"/>
    <w:rsid w:val="006076A0"/>
    <w:rsid w:val="00607794"/>
    <w:rsid w:val="0060798D"/>
    <w:rsid w:val="00607A21"/>
    <w:rsid w:val="00607D51"/>
    <w:rsid w:val="006104A0"/>
    <w:rsid w:val="00610724"/>
    <w:rsid w:val="00610CD6"/>
    <w:rsid w:val="00610E4A"/>
    <w:rsid w:val="00610E7E"/>
    <w:rsid w:val="00610F31"/>
    <w:rsid w:val="006110C2"/>
    <w:rsid w:val="00611143"/>
    <w:rsid w:val="00611266"/>
    <w:rsid w:val="00611325"/>
    <w:rsid w:val="0061138D"/>
    <w:rsid w:val="006114A2"/>
    <w:rsid w:val="0061181A"/>
    <w:rsid w:val="00611988"/>
    <w:rsid w:val="00611A60"/>
    <w:rsid w:val="00611BD9"/>
    <w:rsid w:val="00611BEB"/>
    <w:rsid w:val="00611CA1"/>
    <w:rsid w:val="00611D07"/>
    <w:rsid w:val="00611D54"/>
    <w:rsid w:val="00611FCC"/>
    <w:rsid w:val="00611FD1"/>
    <w:rsid w:val="00612358"/>
    <w:rsid w:val="00612387"/>
    <w:rsid w:val="006124DD"/>
    <w:rsid w:val="00612812"/>
    <w:rsid w:val="006129D0"/>
    <w:rsid w:val="00612AF0"/>
    <w:rsid w:val="00612D02"/>
    <w:rsid w:val="00613616"/>
    <w:rsid w:val="00613901"/>
    <w:rsid w:val="0061393D"/>
    <w:rsid w:val="006140B7"/>
    <w:rsid w:val="00614188"/>
    <w:rsid w:val="0061419E"/>
    <w:rsid w:val="00614962"/>
    <w:rsid w:val="00614965"/>
    <w:rsid w:val="006149DA"/>
    <w:rsid w:val="00614A05"/>
    <w:rsid w:val="00614DCF"/>
    <w:rsid w:val="00614F84"/>
    <w:rsid w:val="00615261"/>
    <w:rsid w:val="006153F5"/>
    <w:rsid w:val="00615578"/>
    <w:rsid w:val="00615C0E"/>
    <w:rsid w:val="00615C6B"/>
    <w:rsid w:val="00615F67"/>
    <w:rsid w:val="0061601C"/>
    <w:rsid w:val="00616401"/>
    <w:rsid w:val="00616734"/>
    <w:rsid w:val="00616968"/>
    <w:rsid w:val="00616B50"/>
    <w:rsid w:val="00616D5A"/>
    <w:rsid w:val="00616F0C"/>
    <w:rsid w:val="0061727A"/>
    <w:rsid w:val="00617354"/>
    <w:rsid w:val="0061737F"/>
    <w:rsid w:val="00617758"/>
    <w:rsid w:val="00617B77"/>
    <w:rsid w:val="00617CCA"/>
    <w:rsid w:val="00617F0F"/>
    <w:rsid w:val="00617F2A"/>
    <w:rsid w:val="00620067"/>
    <w:rsid w:val="006205DA"/>
    <w:rsid w:val="00620983"/>
    <w:rsid w:val="006209BD"/>
    <w:rsid w:val="00620A7F"/>
    <w:rsid w:val="00620A83"/>
    <w:rsid w:val="00620D4B"/>
    <w:rsid w:val="006210AC"/>
    <w:rsid w:val="00621402"/>
    <w:rsid w:val="00621D61"/>
    <w:rsid w:val="00621E5E"/>
    <w:rsid w:val="0062225E"/>
    <w:rsid w:val="006228D2"/>
    <w:rsid w:val="00622ABF"/>
    <w:rsid w:val="00622B53"/>
    <w:rsid w:val="00622BCB"/>
    <w:rsid w:val="00622F22"/>
    <w:rsid w:val="00623401"/>
    <w:rsid w:val="00623432"/>
    <w:rsid w:val="0062368E"/>
    <w:rsid w:val="006238BE"/>
    <w:rsid w:val="00623A1B"/>
    <w:rsid w:val="00623E94"/>
    <w:rsid w:val="00623E9C"/>
    <w:rsid w:val="00623EBB"/>
    <w:rsid w:val="0062418D"/>
    <w:rsid w:val="00624645"/>
    <w:rsid w:val="006246C2"/>
    <w:rsid w:val="00624B4B"/>
    <w:rsid w:val="00624CBE"/>
    <w:rsid w:val="00624D24"/>
    <w:rsid w:val="006253C9"/>
    <w:rsid w:val="0062558D"/>
    <w:rsid w:val="00625876"/>
    <w:rsid w:val="006259E5"/>
    <w:rsid w:val="00625BA6"/>
    <w:rsid w:val="00625E63"/>
    <w:rsid w:val="00625E91"/>
    <w:rsid w:val="00626070"/>
    <w:rsid w:val="0062700A"/>
    <w:rsid w:val="006273AE"/>
    <w:rsid w:val="006274DF"/>
    <w:rsid w:val="00627656"/>
    <w:rsid w:val="006277BB"/>
    <w:rsid w:val="006277F5"/>
    <w:rsid w:val="00627EE0"/>
    <w:rsid w:val="006300F2"/>
    <w:rsid w:val="00630422"/>
    <w:rsid w:val="0063044A"/>
    <w:rsid w:val="00630BCA"/>
    <w:rsid w:val="00630E63"/>
    <w:rsid w:val="00630E6F"/>
    <w:rsid w:val="00630FE6"/>
    <w:rsid w:val="00631188"/>
    <w:rsid w:val="006311ED"/>
    <w:rsid w:val="0063129A"/>
    <w:rsid w:val="0063131E"/>
    <w:rsid w:val="00631385"/>
    <w:rsid w:val="00631BDC"/>
    <w:rsid w:val="00631CAA"/>
    <w:rsid w:val="00631DA0"/>
    <w:rsid w:val="006329FA"/>
    <w:rsid w:val="00632AF5"/>
    <w:rsid w:val="0063341E"/>
    <w:rsid w:val="00633446"/>
    <w:rsid w:val="006334F2"/>
    <w:rsid w:val="00633A0A"/>
    <w:rsid w:val="00633A5C"/>
    <w:rsid w:val="00633ADF"/>
    <w:rsid w:val="00633ED6"/>
    <w:rsid w:val="00634084"/>
    <w:rsid w:val="0063408C"/>
    <w:rsid w:val="006340D7"/>
    <w:rsid w:val="006346F8"/>
    <w:rsid w:val="006348E0"/>
    <w:rsid w:val="00634C96"/>
    <w:rsid w:val="0063502D"/>
    <w:rsid w:val="006358FF"/>
    <w:rsid w:val="00635E7C"/>
    <w:rsid w:val="00635E9A"/>
    <w:rsid w:val="00636257"/>
    <w:rsid w:val="006362AA"/>
    <w:rsid w:val="0063634B"/>
    <w:rsid w:val="0063659C"/>
    <w:rsid w:val="006367AA"/>
    <w:rsid w:val="00636821"/>
    <w:rsid w:val="006376A5"/>
    <w:rsid w:val="006376F0"/>
    <w:rsid w:val="00637DAC"/>
    <w:rsid w:val="00637FA0"/>
    <w:rsid w:val="00637FBC"/>
    <w:rsid w:val="006405CD"/>
    <w:rsid w:val="006409F6"/>
    <w:rsid w:val="0064101F"/>
    <w:rsid w:val="006410EA"/>
    <w:rsid w:val="006412B5"/>
    <w:rsid w:val="006419B0"/>
    <w:rsid w:val="00641EB2"/>
    <w:rsid w:val="0064207F"/>
    <w:rsid w:val="006421C1"/>
    <w:rsid w:val="006422BC"/>
    <w:rsid w:val="006422DA"/>
    <w:rsid w:val="0064236C"/>
    <w:rsid w:val="0064239C"/>
    <w:rsid w:val="006425FD"/>
    <w:rsid w:val="006426F3"/>
    <w:rsid w:val="00642827"/>
    <w:rsid w:val="00642973"/>
    <w:rsid w:val="00642CB2"/>
    <w:rsid w:val="00642F29"/>
    <w:rsid w:val="0064314F"/>
    <w:rsid w:val="00643156"/>
    <w:rsid w:val="00643285"/>
    <w:rsid w:val="00643853"/>
    <w:rsid w:val="00643995"/>
    <w:rsid w:val="00643C1C"/>
    <w:rsid w:val="00643D74"/>
    <w:rsid w:val="00643E42"/>
    <w:rsid w:val="0064401A"/>
    <w:rsid w:val="00644097"/>
    <w:rsid w:val="00644756"/>
    <w:rsid w:val="00644A04"/>
    <w:rsid w:val="00644C2C"/>
    <w:rsid w:val="00644D61"/>
    <w:rsid w:val="0064506D"/>
    <w:rsid w:val="006450E2"/>
    <w:rsid w:val="0064530E"/>
    <w:rsid w:val="0064542B"/>
    <w:rsid w:val="00645461"/>
    <w:rsid w:val="00645545"/>
    <w:rsid w:val="006456AC"/>
    <w:rsid w:val="006456F4"/>
    <w:rsid w:val="00645738"/>
    <w:rsid w:val="00645A2A"/>
    <w:rsid w:val="00645A9F"/>
    <w:rsid w:val="00645B8C"/>
    <w:rsid w:val="00645CDF"/>
    <w:rsid w:val="00646422"/>
    <w:rsid w:val="00646446"/>
    <w:rsid w:val="006464D9"/>
    <w:rsid w:val="0064663D"/>
    <w:rsid w:val="0064690E"/>
    <w:rsid w:val="0064692C"/>
    <w:rsid w:val="00646978"/>
    <w:rsid w:val="00646D54"/>
    <w:rsid w:val="0064708F"/>
    <w:rsid w:val="00647198"/>
    <w:rsid w:val="00647297"/>
    <w:rsid w:val="00647681"/>
    <w:rsid w:val="00647913"/>
    <w:rsid w:val="00647CA5"/>
    <w:rsid w:val="0065009D"/>
    <w:rsid w:val="006500E6"/>
    <w:rsid w:val="00650110"/>
    <w:rsid w:val="00650159"/>
    <w:rsid w:val="00650199"/>
    <w:rsid w:val="006502D5"/>
    <w:rsid w:val="006505F5"/>
    <w:rsid w:val="00651179"/>
    <w:rsid w:val="00651335"/>
    <w:rsid w:val="00651427"/>
    <w:rsid w:val="00651938"/>
    <w:rsid w:val="00651D0D"/>
    <w:rsid w:val="00651E7C"/>
    <w:rsid w:val="00652125"/>
    <w:rsid w:val="00652513"/>
    <w:rsid w:val="00652A21"/>
    <w:rsid w:val="00652B36"/>
    <w:rsid w:val="00652E6E"/>
    <w:rsid w:val="006533D4"/>
    <w:rsid w:val="00654196"/>
    <w:rsid w:val="006541D5"/>
    <w:rsid w:val="00654533"/>
    <w:rsid w:val="00654973"/>
    <w:rsid w:val="00654A13"/>
    <w:rsid w:val="006550D5"/>
    <w:rsid w:val="00655693"/>
    <w:rsid w:val="0065586B"/>
    <w:rsid w:val="00655CE2"/>
    <w:rsid w:val="0065603E"/>
    <w:rsid w:val="006561E1"/>
    <w:rsid w:val="0065633C"/>
    <w:rsid w:val="00656533"/>
    <w:rsid w:val="00656678"/>
    <w:rsid w:val="0065669E"/>
    <w:rsid w:val="006569D4"/>
    <w:rsid w:val="00656FE4"/>
    <w:rsid w:val="00657063"/>
    <w:rsid w:val="006570EA"/>
    <w:rsid w:val="00657246"/>
    <w:rsid w:val="006573C5"/>
    <w:rsid w:val="006573FD"/>
    <w:rsid w:val="00657537"/>
    <w:rsid w:val="0065772B"/>
    <w:rsid w:val="00657994"/>
    <w:rsid w:val="00657C13"/>
    <w:rsid w:val="00657E60"/>
    <w:rsid w:val="006601B7"/>
    <w:rsid w:val="006602E2"/>
    <w:rsid w:val="00660329"/>
    <w:rsid w:val="00660799"/>
    <w:rsid w:val="0066092E"/>
    <w:rsid w:val="00660A76"/>
    <w:rsid w:val="00660D4B"/>
    <w:rsid w:val="00660E92"/>
    <w:rsid w:val="006612A4"/>
    <w:rsid w:val="00661789"/>
    <w:rsid w:val="0066188B"/>
    <w:rsid w:val="006619B4"/>
    <w:rsid w:val="00661C8A"/>
    <w:rsid w:val="006622D5"/>
    <w:rsid w:val="006627D3"/>
    <w:rsid w:val="00662813"/>
    <w:rsid w:val="00662867"/>
    <w:rsid w:val="0066291C"/>
    <w:rsid w:val="00662A0B"/>
    <w:rsid w:val="00662A1F"/>
    <w:rsid w:val="00663012"/>
    <w:rsid w:val="0066317D"/>
    <w:rsid w:val="00663806"/>
    <w:rsid w:val="0066391E"/>
    <w:rsid w:val="00663F44"/>
    <w:rsid w:val="00663F5F"/>
    <w:rsid w:val="00664186"/>
    <w:rsid w:val="00664358"/>
    <w:rsid w:val="0066437C"/>
    <w:rsid w:val="00664513"/>
    <w:rsid w:val="006645B7"/>
    <w:rsid w:val="006646EC"/>
    <w:rsid w:val="006648CA"/>
    <w:rsid w:val="00664A38"/>
    <w:rsid w:val="00664A6D"/>
    <w:rsid w:val="00664AB2"/>
    <w:rsid w:val="0066530F"/>
    <w:rsid w:val="00665329"/>
    <w:rsid w:val="00665693"/>
    <w:rsid w:val="00665895"/>
    <w:rsid w:val="00665C57"/>
    <w:rsid w:val="00665D08"/>
    <w:rsid w:val="00665FEF"/>
    <w:rsid w:val="00666102"/>
    <w:rsid w:val="00666193"/>
    <w:rsid w:val="0066625F"/>
    <w:rsid w:val="00666B06"/>
    <w:rsid w:val="00666C29"/>
    <w:rsid w:val="00666DB7"/>
    <w:rsid w:val="0066700E"/>
    <w:rsid w:val="00667083"/>
    <w:rsid w:val="0066708A"/>
    <w:rsid w:val="0066779A"/>
    <w:rsid w:val="006677B7"/>
    <w:rsid w:val="0066799B"/>
    <w:rsid w:val="00667CFE"/>
    <w:rsid w:val="00667D64"/>
    <w:rsid w:val="00670380"/>
    <w:rsid w:val="00670397"/>
    <w:rsid w:val="00670403"/>
    <w:rsid w:val="00670414"/>
    <w:rsid w:val="006704B3"/>
    <w:rsid w:val="00670887"/>
    <w:rsid w:val="00670A72"/>
    <w:rsid w:val="00670DC7"/>
    <w:rsid w:val="00670E0B"/>
    <w:rsid w:val="00670E1B"/>
    <w:rsid w:val="006715D4"/>
    <w:rsid w:val="00671745"/>
    <w:rsid w:val="0067175D"/>
    <w:rsid w:val="00671A1F"/>
    <w:rsid w:val="00671BA8"/>
    <w:rsid w:val="00671C71"/>
    <w:rsid w:val="00671D87"/>
    <w:rsid w:val="00671DE9"/>
    <w:rsid w:val="00671FF7"/>
    <w:rsid w:val="0067233A"/>
    <w:rsid w:val="006729D4"/>
    <w:rsid w:val="00672BEB"/>
    <w:rsid w:val="00672FB4"/>
    <w:rsid w:val="006731DA"/>
    <w:rsid w:val="00673382"/>
    <w:rsid w:val="00673555"/>
    <w:rsid w:val="006737DF"/>
    <w:rsid w:val="0067384A"/>
    <w:rsid w:val="006739B9"/>
    <w:rsid w:val="00673C6C"/>
    <w:rsid w:val="00674057"/>
    <w:rsid w:val="006740B1"/>
    <w:rsid w:val="00674577"/>
    <w:rsid w:val="00674597"/>
    <w:rsid w:val="006746E4"/>
    <w:rsid w:val="00674BC9"/>
    <w:rsid w:val="00674C12"/>
    <w:rsid w:val="00674C5A"/>
    <w:rsid w:val="00674EB5"/>
    <w:rsid w:val="00675117"/>
    <w:rsid w:val="00675128"/>
    <w:rsid w:val="0067524A"/>
    <w:rsid w:val="00675310"/>
    <w:rsid w:val="00675559"/>
    <w:rsid w:val="00675D30"/>
    <w:rsid w:val="00675DE2"/>
    <w:rsid w:val="006761CA"/>
    <w:rsid w:val="00676297"/>
    <w:rsid w:val="0067685E"/>
    <w:rsid w:val="00676C88"/>
    <w:rsid w:val="006770B4"/>
    <w:rsid w:val="006771C6"/>
    <w:rsid w:val="00677236"/>
    <w:rsid w:val="00677A5F"/>
    <w:rsid w:val="00677BF5"/>
    <w:rsid w:val="0068039A"/>
    <w:rsid w:val="00680771"/>
    <w:rsid w:val="006807B9"/>
    <w:rsid w:val="00680837"/>
    <w:rsid w:val="00680A6C"/>
    <w:rsid w:val="00680B8A"/>
    <w:rsid w:val="00680DBE"/>
    <w:rsid w:val="006812CF"/>
    <w:rsid w:val="006815EE"/>
    <w:rsid w:val="006816A0"/>
    <w:rsid w:val="006816D3"/>
    <w:rsid w:val="0068183C"/>
    <w:rsid w:val="00681A56"/>
    <w:rsid w:val="00681CBB"/>
    <w:rsid w:val="00681CCA"/>
    <w:rsid w:val="0068217F"/>
    <w:rsid w:val="00682249"/>
    <w:rsid w:val="006822C6"/>
    <w:rsid w:val="0068242E"/>
    <w:rsid w:val="006826A5"/>
    <w:rsid w:val="0068278D"/>
    <w:rsid w:val="00682B59"/>
    <w:rsid w:val="00682D8A"/>
    <w:rsid w:val="00682FD2"/>
    <w:rsid w:val="00682FD3"/>
    <w:rsid w:val="006830BB"/>
    <w:rsid w:val="00683420"/>
    <w:rsid w:val="00683492"/>
    <w:rsid w:val="0068362B"/>
    <w:rsid w:val="006839E3"/>
    <w:rsid w:val="0068404B"/>
    <w:rsid w:val="006847B5"/>
    <w:rsid w:val="00684A86"/>
    <w:rsid w:val="00684A8E"/>
    <w:rsid w:val="00684D82"/>
    <w:rsid w:val="00684F0F"/>
    <w:rsid w:val="006851D0"/>
    <w:rsid w:val="00685446"/>
    <w:rsid w:val="00685484"/>
    <w:rsid w:val="006859E1"/>
    <w:rsid w:val="00685C04"/>
    <w:rsid w:val="00685F3B"/>
    <w:rsid w:val="006862BE"/>
    <w:rsid w:val="006865DE"/>
    <w:rsid w:val="006865F8"/>
    <w:rsid w:val="00686D68"/>
    <w:rsid w:val="00686F7F"/>
    <w:rsid w:val="00687413"/>
    <w:rsid w:val="00687568"/>
    <w:rsid w:val="0068769E"/>
    <w:rsid w:val="00687A41"/>
    <w:rsid w:val="00687AC7"/>
    <w:rsid w:val="00687B85"/>
    <w:rsid w:val="00687BE4"/>
    <w:rsid w:val="00687D6B"/>
    <w:rsid w:val="00687D8C"/>
    <w:rsid w:val="00687DB3"/>
    <w:rsid w:val="00687E17"/>
    <w:rsid w:val="00690A9F"/>
    <w:rsid w:val="00690B87"/>
    <w:rsid w:val="006913B6"/>
    <w:rsid w:val="006913CC"/>
    <w:rsid w:val="0069142C"/>
    <w:rsid w:val="006914C6"/>
    <w:rsid w:val="0069162F"/>
    <w:rsid w:val="006916E6"/>
    <w:rsid w:val="0069174E"/>
    <w:rsid w:val="00691821"/>
    <w:rsid w:val="00691BF9"/>
    <w:rsid w:val="0069209E"/>
    <w:rsid w:val="00692105"/>
    <w:rsid w:val="0069244B"/>
    <w:rsid w:val="006924F2"/>
    <w:rsid w:val="00692573"/>
    <w:rsid w:val="00692A04"/>
    <w:rsid w:val="00692B12"/>
    <w:rsid w:val="00692C59"/>
    <w:rsid w:val="00692D57"/>
    <w:rsid w:val="00692E38"/>
    <w:rsid w:val="00692F7D"/>
    <w:rsid w:val="006933AE"/>
    <w:rsid w:val="006933BF"/>
    <w:rsid w:val="00693BA0"/>
    <w:rsid w:val="00693F72"/>
    <w:rsid w:val="0069462F"/>
    <w:rsid w:val="0069470B"/>
    <w:rsid w:val="0069471B"/>
    <w:rsid w:val="00694740"/>
    <w:rsid w:val="00694943"/>
    <w:rsid w:val="006951A8"/>
    <w:rsid w:val="006953BB"/>
    <w:rsid w:val="0069590E"/>
    <w:rsid w:val="00695A20"/>
    <w:rsid w:val="00695A72"/>
    <w:rsid w:val="00695B87"/>
    <w:rsid w:val="00695CEC"/>
    <w:rsid w:val="00695E7C"/>
    <w:rsid w:val="00695FDB"/>
    <w:rsid w:val="0069617B"/>
    <w:rsid w:val="0069638D"/>
    <w:rsid w:val="00696A97"/>
    <w:rsid w:val="00696AAE"/>
    <w:rsid w:val="006970B1"/>
    <w:rsid w:val="00697201"/>
    <w:rsid w:val="00697561"/>
    <w:rsid w:val="0069772A"/>
    <w:rsid w:val="00697AE5"/>
    <w:rsid w:val="00697AFE"/>
    <w:rsid w:val="00697D4A"/>
    <w:rsid w:val="00697DB2"/>
    <w:rsid w:val="00697E0A"/>
    <w:rsid w:val="006A0011"/>
    <w:rsid w:val="006A024E"/>
    <w:rsid w:val="006A0309"/>
    <w:rsid w:val="006A034A"/>
    <w:rsid w:val="006A03C9"/>
    <w:rsid w:val="006A0521"/>
    <w:rsid w:val="006A055B"/>
    <w:rsid w:val="006A0B06"/>
    <w:rsid w:val="006A0D28"/>
    <w:rsid w:val="006A0FA6"/>
    <w:rsid w:val="006A1148"/>
    <w:rsid w:val="006A11CC"/>
    <w:rsid w:val="006A1241"/>
    <w:rsid w:val="006A15F8"/>
    <w:rsid w:val="006A187D"/>
    <w:rsid w:val="006A1BF7"/>
    <w:rsid w:val="006A1DD5"/>
    <w:rsid w:val="006A1F80"/>
    <w:rsid w:val="006A2117"/>
    <w:rsid w:val="006A256E"/>
    <w:rsid w:val="006A25BD"/>
    <w:rsid w:val="006A26FE"/>
    <w:rsid w:val="006A29DB"/>
    <w:rsid w:val="006A2C38"/>
    <w:rsid w:val="006A2C90"/>
    <w:rsid w:val="006A2D44"/>
    <w:rsid w:val="006A306E"/>
    <w:rsid w:val="006A3605"/>
    <w:rsid w:val="006A37E1"/>
    <w:rsid w:val="006A39D9"/>
    <w:rsid w:val="006A3B14"/>
    <w:rsid w:val="006A3CA1"/>
    <w:rsid w:val="006A412D"/>
    <w:rsid w:val="006A463F"/>
    <w:rsid w:val="006A46E5"/>
    <w:rsid w:val="006A4752"/>
    <w:rsid w:val="006A47E2"/>
    <w:rsid w:val="006A4952"/>
    <w:rsid w:val="006A4A53"/>
    <w:rsid w:val="006A4AA0"/>
    <w:rsid w:val="006A4DAB"/>
    <w:rsid w:val="006A50A8"/>
    <w:rsid w:val="006A50FF"/>
    <w:rsid w:val="006A5586"/>
    <w:rsid w:val="006A577A"/>
    <w:rsid w:val="006A57DF"/>
    <w:rsid w:val="006A5A4B"/>
    <w:rsid w:val="006A65A2"/>
    <w:rsid w:val="006A65D4"/>
    <w:rsid w:val="006A677E"/>
    <w:rsid w:val="006A6C3A"/>
    <w:rsid w:val="006A6C6F"/>
    <w:rsid w:val="006A6D0E"/>
    <w:rsid w:val="006A6E71"/>
    <w:rsid w:val="006A7310"/>
    <w:rsid w:val="006A7A96"/>
    <w:rsid w:val="006A7DCC"/>
    <w:rsid w:val="006B01A6"/>
    <w:rsid w:val="006B01DA"/>
    <w:rsid w:val="006B0AA7"/>
    <w:rsid w:val="006B0AD7"/>
    <w:rsid w:val="006B0E09"/>
    <w:rsid w:val="006B10F0"/>
    <w:rsid w:val="006B12FE"/>
    <w:rsid w:val="006B18BE"/>
    <w:rsid w:val="006B1954"/>
    <w:rsid w:val="006B1C49"/>
    <w:rsid w:val="006B1D0B"/>
    <w:rsid w:val="006B1EB8"/>
    <w:rsid w:val="006B206F"/>
    <w:rsid w:val="006B2433"/>
    <w:rsid w:val="006B261C"/>
    <w:rsid w:val="006B2891"/>
    <w:rsid w:val="006B28A6"/>
    <w:rsid w:val="006B2A54"/>
    <w:rsid w:val="006B2DDC"/>
    <w:rsid w:val="006B359E"/>
    <w:rsid w:val="006B39A4"/>
    <w:rsid w:val="006B4702"/>
    <w:rsid w:val="006B4BCA"/>
    <w:rsid w:val="006B4CB1"/>
    <w:rsid w:val="006B505A"/>
    <w:rsid w:val="006B5C54"/>
    <w:rsid w:val="006B5D96"/>
    <w:rsid w:val="006B5E7B"/>
    <w:rsid w:val="006B5F12"/>
    <w:rsid w:val="006B5F7C"/>
    <w:rsid w:val="006B5FDD"/>
    <w:rsid w:val="006B5FEE"/>
    <w:rsid w:val="006B6097"/>
    <w:rsid w:val="006B6280"/>
    <w:rsid w:val="006B6349"/>
    <w:rsid w:val="006B65D0"/>
    <w:rsid w:val="006B67DB"/>
    <w:rsid w:val="006B6BA4"/>
    <w:rsid w:val="006B6D85"/>
    <w:rsid w:val="006B7509"/>
    <w:rsid w:val="006B75F4"/>
    <w:rsid w:val="006B7601"/>
    <w:rsid w:val="006B7655"/>
    <w:rsid w:val="006B7765"/>
    <w:rsid w:val="006B7E77"/>
    <w:rsid w:val="006B7F6D"/>
    <w:rsid w:val="006B7FA1"/>
    <w:rsid w:val="006C02BD"/>
    <w:rsid w:val="006C0436"/>
    <w:rsid w:val="006C063A"/>
    <w:rsid w:val="006C0689"/>
    <w:rsid w:val="006C081B"/>
    <w:rsid w:val="006C0877"/>
    <w:rsid w:val="006C0BD9"/>
    <w:rsid w:val="006C0DB4"/>
    <w:rsid w:val="006C0FC1"/>
    <w:rsid w:val="006C146A"/>
    <w:rsid w:val="006C14B6"/>
    <w:rsid w:val="006C1C8D"/>
    <w:rsid w:val="006C1D13"/>
    <w:rsid w:val="006C1EC9"/>
    <w:rsid w:val="006C20C1"/>
    <w:rsid w:val="006C25FE"/>
    <w:rsid w:val="006C2B6F"/>
    <w:rsid w:val="006C306D"/>
    <w:rsid w:val="006C3456"/>
    <w:rsid w:val="006C36A7"/>
    <w:rsid w:val="006C37F7"/>
    <w:rsid w:val="006C3B77"/>
    <w:rsid w:val="006C3BEB"/>
    <w:rsid w:val="006C43C4"/>
    <w:rsid w:val="006C44C0"/>
    <w:rsid w:val="006C4679"/>
    <w:rsid w:val="006C47D9"/>
    <w:rsid w:val="006C4946"/>
    <w:rsid w:val="006C49DC"/>
    <w:rsid w:val="006C4B37"/>
    <w:rsid w:val="006C4E33"/>
    <w:rsid w:val="006C51CE"/>
    <w:rsid w:val="006C541A"/>
    <w:rsid w:val="006C548D"/>
    <w:rsid w:val="006C54EE"/>
    <w:rsid w:val="006C5820"/>
    <w:rsid w:val="006C5906"/>
    <w:rsid w:val="006C59BD"/>
    <w:rsid w:val="006C5C22"/>
    <w:rsid w:val="006C5DDB"/>
    <w:rsid w:val="006C5F36"/>
    <w:rsid w:val="006C5F95"/>
    <w:rsid w:val="006C60ED"/>
    <w:rsid w:val="006C61F4"/>
    <w:rsid w:val="006C663C"/>
    <w:rsid w:val="006C675F"/>
    <w:rsid w:val="006C6B73"/>
    <w:rsid w:val="006C6E59"/>
    <w:rsid w:val="006C7314"/>
    <w:rsid w:val="006C765E"/>
    <w:rsid w:val="006C7E2B"/>
    <w:rsid w:val="006C7EDD"/>
    <w:rsid w:val="006D0378"/>
    <w:rsid w:val="006D0637"/>
    <w:rsid w:val="006D0B18"/>
    <w:rsid w:val="006D1687"/>
    <w:rsid w:val="006D188F"/>
    <w:rsid w:val="006D1A7A"/>
    <w:rsid w:val="006D1B34"/>
    <w:rsid w:val="006D1F79"/>
    <w:rsid w:val="006D26EA"/>
    <w:rsid w:val="006D2B9B"/>
    <w:rsid w:val="006D2C05"/>
    <w:rsid w:val="006D2F5C"/>
    <w:rsid w:val="006D3153"/>
    <w:rsid w:val="006D3550"/>
    <w:rsid w:val="006D3BBA"/>
    <w:rsid w:val="006D3EB8"/>
    <w:rsid w:val="006D3EDD"/>
    <w:rsid w:val="006D4054"/>
    <w:rsid w:val="006D40FF"/>
    <w:rsid w:val="006D481C"/>
    <w:rsid w:val="006D4D00"/>
    <w:rsid w:val="006D4F0D"/>
    <w:rsid w:val="006D59DB"/>
    <w:rsid w:val="006D5AE3"/>
    <w:rsid w:val="006D5C75"/>
    <w:rsid w:val="006D5D83"/>
    <w:rsid w:val="006D5DD8"/>
    <w:rsid w:val="006D5EB2"/>
    <w:rsid w:val="006D6762"/>
    <w:rsid w:val="006D6CE1"/>
    <w:rsid w:val="006D6E6E"/>
    <w:rsid w:val="006D6F31"/>
    <w:rsid w:val="006D7329"/>
    <w:rsid w:val="006D7346"/>
    <w:rsid w:val="006D7401"/>
    <w:rsid w:val="006D7521"/>
    <w:rsid w:val="006D7542"/>
    <w:rsid w:val="006D7731"/>
    <w:rsid w:val="006D7793"/>
    <w:rsid w:val="006D7C88"/>
    <w:rsid w:val="006E018A"/>
    <w:rsid w:val="006E029C"/>
    <w:rsid w:val="006E0413"/>
    <w:rsid w:val="006E05A4"/>
    <w:rsid w:val="006E07C9"/>
    <w:rsid w:val="006E0821"/>
    <w:rsid w:val="006E086A"/>
    <w:rsid w:val="006E0DF3"/>
    <w:rsid w:val="006E1088"/>
    <w:rsid w:val="006E1442"/>
    <w:rsid w:val="006E1B2F"/>
    <w:rsid w:val="006E1D38"/>
    <w:rsid w:val="006E1D9A"/>
    <w:rsid w:val="006E1E4A"/>
    <w:rsid w:val="006E1F1D"/>
    <w:rsid w:val="006E21FE"/>
    <w:rsid w:val="006E2327"/>
    <w:rsid w:val="006E2407"/>
    <w:rsid w:val="006E2984"/>
    <w:rsid w:val="006E2B25"/>
    <w:rsid w:val="006E2CF7"/>
    <w:rsid w:val="006E3084"/>
    <w:rsid w:val="006E3095"/>
    <w:rsid w:val="006E3267"/>
    <w:rsid w:val="006E3351"/>
    <w:rsid w:val="006E3930"/>
    <w:rsid w:val="006E42F7"/>
    <w:rsid w:val="006E4330"/>
    <w:rsid w:val="006E437C"/>
    <w:rsid w:val="006E43BA"/>
    <w:rsid w:val="006E47D9"/>
    <w:rsid w:val="006E5076"/>
    <w:rsid w:val="006E512D"/>
    <w:rsid w:val="006E5304"/>
    <w:rsid w:val="006E5406"/>
    <w:rsid w:val="006E554F"/>
    <w:rsid w:val="006E5884"/>
    <w:rsid w:val="006E5A54"/>
    <w:rsid w:val="006E62AB"/>
    <w:rsid w:val="006E641D"/>
    <w:rsid w:val="006E6473"/>
    <w:rsid w:val="006E6C2F"/>
    <w:rsid w:val="006E6E6A"/>
    <w:rsid w:val="006E6FCE"/>
    <w:rsid w:val="006E6FE1"/>
    <w:rsid w:val="006E7248"/>
    <w:rsid w:val="006E7988"/>
    <w:rsid w:val="006E7A2C"/>
    <w:rsid w:val="006E7B44"/>
    <w:rsid w:val="006F0461"/>
    <w:rsid w:val="006F0991"/>
    <w:rsid w:val="006F0A24"/>
    <w:rsid w:val="006F0C63"/>
    <w:rsid w:val="006F0D08"/>
    <w:rsid w:val="006F13ED"/>
    <w:rsid w:val="006F1548"/>
    <w:rsid w:val="006F159E"/>
    <w:rsid w:val="006F16D0"/>
    <w:rsid w:val="006F17E3"/>
    <w:rsid w:val="006F188C"/>
    <w:rsid w:val="006F18DC"/>
    <w:rsid w:val="006F1A7F"/>
    <w:rsid w:val="006F1C10"/>
    <w:rsid w:val="006F1C84"/>
    <w:rsid w:val="006F1C9E"/>
    <w:rsid w:val="006F1FFC"/>
    <w:rsid w:val="006F23DA"/>
    <w:rsid w:val="006F2516"/>
    <w:rsid w:val="006F27E4"/>
    <w:rsid w:val="006F2C93"/>
    <w:rsid w:val="006F2D70"/>
    <w:rsid w:val="006F2E4A"/>
    <w:rsid w:val="006F3294"/>
    <w:rsid w:val="006F3A96"/>
    <w:rsid w:val="006F3AF1"/>
    <w:rsid w:val="006F3EDE"/>
    <w:rsid w:val="006F4296"/>
    <w:rsid w:val="006F4530"/>
    <w:rsid w:val="006F4735"/>
    <w:rsid w:val="006F4802"/>
    <w:rsid w:val="006F48DA"/>
    <w:rsid w:val="006F4A9B"/>
    <w:rsid w:val="006F4AF0"/>
    <w:rsid w:val="006F4B43"/>
    <w:rsid w:val="006F4B8E"/>
    <w:rsid w:val="006F4CAB"/>
    <w:rsid w:val="006F4DEC"/>
    <w:rsid w:val="006F4E3F"/>
    <w:rsid w:val="006F4E4A"/>
    <w:rsid w:val="006F4F5C"/>
    <w:rsid w:val="006F5433"/>
    <w:rsid w:val="006F5492"/>
    <w:rsid w:val="006F54E9"/>
    <w:rsid w:val="006F58CA"/>
    <w:rsid w:val="006F5B7B"/>
    <w:rsid w:val="006F60AA"/>
    <w:rsid w:val="006F6209"/>
    <w:rsid w:val="006F6298"/>
    <w:rsid w:val="006F6503"/>
    <w:rsid w:val="006F651D"/>
    <w:rsid w:val="006F6652"/>
    <w:rsid w:val="006F6870"/>
    <w:rsid w:val="006F6BAC"/>
    <w:rsid w:val="006F6E07"/>
    <w:rsid w:val="006F6E57"/>
    <w:rsid w:val="006F6FB6"/>
    <w:rsid w:val="006F702A"/>
    <w:rsid w:val="006F7230"/>
    <w:rsid w:val="006F7313"/>
    <w:rsid w:val="006F74F8"/>
    <w:rsid w:val="006F78A0"/>
    <w:rsid w:val="006F7923"/>
    <w:rsid w:val="00700083"/>
    <w:rsid w:val="00700299"/>
    <w:rsid w:val="007003D7"/>
    <w:rsid w:val="00700627"/>
    <w:rsid w:val="007006A4"/>
    <w:rsid w:val="00700758"/>
    <w:rsid w:val="007007C1"/>
    <w:rsid w:val="007014EA"/>
    <w:rsid w:val="00701697"/>
    <w:rsid w:val="007018D0"/>
    <w:rsid w:val="00701E15"/>
    <w:rsid w:val="00701E55"/>
    <w:rsid w:val="00701F3F"/>
    <w:rsid w:val="007022C8"/>
    <w:rsid w:val="00702322"/>
    <w:rsid w:val="007030F6"/>
    <w:rsid w:val="007033EA"/>
    <w:rsid w:val="0070357D"/>
    <w:rsid w:val="0070386A"/>
    <w:rsid w:val="0070393B"/>
    <w:rsid w:val="00703AF6"/>
    <w:rsid w:val="00703B3E"/>
    <w:rsid w:val="00703C89"/>
    <w:rsid w:val="00703F0B"/>
    <w:rsid w:val="00704193"/>
    <w:rsid w:val="0070443A"/>
    <w:rsid w:val="007048A0"/>
    <w:rsid w:val="00704946"/>
    <w:rsid w:val="00704F14"/>
    <w:rsid w:val="00704FBD"/>
    <w:rsid w:val="00705050"/>
    <w:rsid w:val="00705507"/>
    <w:rsid w:val="00705739"/>
    <w:rsid w:val="00705986"/>
    <w:rsid w:val="00705B52"/>
    <w:rsid w:val="00705E44"/>
    <w:rsid w:val="00706058"/>
    <w:rsid w:val="00706465"/>
    <w:rsid w:val="007066A3"/>
    <w:rsid w:val="00706796"/>
    <w:rsid w:val="00706AE7"/>
    <w:rsid w:val="00706E9E"/>
    <w:rsid w:val="00707020"/>
    <w:rsid w:val="0070710E"/>
    <w:rsid w:val="007072C8"/>
    <w:rsid w:val="007073F4"/>
    <w:rsid w:val="00707576"/>
    <w:rsid w:val="00707703"/>
    <w:rsid w:val="00707CAE"/>
    <w:rsid w:val="007100C0"/>
    <w:rsid w:val="007101D5"/>
    <w:rsid w:val="007102FA"/>
    <w:rsid w:val="0071050A"/>
    <w:rsid w:val="00710666"/>
    <w:rsid w:val="00710732"/>
    <w:rsid w:val="00710A97"/>
    <w:rsid w:val="00710AE4"/>
    <w:rsid w:val="00710C2B"/>
    <w:rsid w:val="00710C45"/>
    <w:rsid w:val="00710DC1"/>
    <w:rsid w:val="00711173"/>
    <w:rsid w:val="00711482"/>
    <w:rsid w:val="00711A04"/>
    <w:rsid w:val="00711B4F"/>
    <w:rsid w:val="00711C9C"/>
    <w:rsid w:val="00711CB4"/>
    <w:rsid w:val="00711EE8"/>
    <w:rsid w:val="0071253C"/>
    <w:rsid w:val="007129B4"/>
    <w:rsid w:val="007131EA"/>
    <w:rsid w:val="0071350C"/>
    <w:rsid w:val="00713C66"/>
    <w:rsid w:val="00713EF7"/>
    <w:rsid w:val="00714287"/>
    <w:rsid w:val="00714341"/>
    <w:rsid w:val="0071447A"/>
    <w:rsid w:val="00714780"/>
    <w:rsid w:val="007147BB"/>
    <w:rsid w:val="007149B4"/>
    <w:rsid w:val="00714B94"/>
    <w:rsid w:val="00714CF1"/>
    <w:rsid w:val="00714E8C"/>
    <w:rsid w:val="00715050"/>
    <w:rsid w:val="00715883"/>
    <w:rsid w:val="00715C04"/>
    <w:rsid w:val="00715D5E"/>
    <w:rsid w:val="00715E9E"/>
    <w:rsid w:val="00716057"/>
    <w:rsid w:val="007160C9"/>
    <w:rsid w:val="007164F4"/>
    <w:rsid w:val="0071660A"/>
    <w:rsid w:val="007168F7"/>
    <w:rsid w:val="00716DEF"/>
    <w:rsid w:val="00717112"/>
    <w:rsid w:val="0071711A"/>
    <w:rsid w:val="00717138"/>
    <w:rsid w:val="007171C1"/>
    <w:rsid w:val="007171CB"/>
    <w:rsid w:val="0071759B"/>
    <w:rsid w:val="00717747"/>
    <w:rsid w:val="00717763"/>
    <w:rsid w:val="00717809"/>
    <w:rsid w:val="00717A1D"/>
    <w:rsid w:val="00717B85"/>
    <w:rsid w:val="00717D2A"/>
    <w:rsid w:val="00717E06"/>
    <w:rsid w:val="00717E65"/>
    <w:rsid w:val="00717F30"/>
    <w:rsid w:val="00717FD1"/>
    <w:rsid w:val="007205A9"/>
    <w:rsid w:val="0072071F"/>
    <w:rsid w:val="0072097C"/>
    <w:rsid w:val="00720A6E"/>
    <w:rsid w:val="00720E80"/>
    <w:rsid w:val="00720EA9"/>
    <w:rsid w:val="007210B7"/>
    <w:rsid w:val="0072119E"/>
    <w:rsid w:val="00721238"/>
    <w:rsid w:val="00721263"/>
    <w:rsid w:val="00721539"/>
    <w:rsid w:val="0072164E"/>
    <w:rsid w:val="007217BD"/>
    <w:rsid w:val="00721BB8"/>
    <w:rsid w:val="00721C1C"/>
    <w:rsid w:val="00721CAD"/>
    <w:rsid w:val="00721F19"/>
    <w:rsid w:val="00721F9C"/>
    <w:rsid w:val="0072212C"/>
    <w:rsid w:val="0072217B"/>
    <w:rsid w:val="00722701"/>
    <w:rsid w:val="007229FD"/>
    <w:rsid w:val="00722DF6"/>
    <w:rsid w:val="00722FE9"/>
    <w:rsid w:val="00723197"/>
    <w:rsid w:val="00723248"/>
    <w:rsid w:val="00723A94"/>
    <w:rsid w:val="00723AF3"/>
    <w:rsid w:val="00723CA7"/>
    <w:rsid w:val="00724193"/>
    <w:rsid w:val="007242BE"/>
    <w:rsid w:val="00724359"/>
    <w:rsid w:val="007243DF"/>
    <w:rsid w:val="00724577"/>
    <w:rsid w:val="007246CA"/>
    <w:rsid w:val="00724725"/>
    <w:rsid w:val="0072492B"/>
    <w:rsid w:val="00724AD5"/>
    <w:rsid w:val="00724D5F"/>
    <w:rsid w:val="00724E5B"/>
    <w:rsid w:val="00724E74"/>
    <w:rsid w:val="00724E84"/>
    <w:rsid w:val="00724F68"/>
    <w:rsid w:val="0072511E"/>
    <w:rsid w:val="007252DC"/>
    <w:rsid w:val="00725720"/>
    <w:rsid w:val="00725ABE"/>
    <w:rsid w:val="00725BB2"/>
    <w:rsid w:val="00725EC6"/>
    <w:rsid w:val="0072608F"/>
    <w:rsid w:val="00726107"/>
    <w:rsid w:val="007263F8"/>
    <w:rsid w:val="007265EF"/>
    <w:rsid w:val="00726779"/>
    <w:rsid w:val="00726BAB"/>
    <w:rsid w:val="007273C8"/>
    <w:rsid w:val="007275C8"/>
    <w:rsid w:val="00727B0F"/>
    <w:rsid w:val="0073040B"/>
    <w:rsid w:val="007306F3"/>
    <w:rsid w:val="0073090E"/>
    <w:rsid w:val="00731071"/>
    <w:rsid w:val="00731EB0"/>
    <w:rsid w:val="00731EE2"/>
    <w:rsid w:val="007323BF"/>
    <w:rsid w:val="00732691"/>
    <w:rsid w:val="007327AE"/>
    <w:rsid w:val="00732970"/>
    <w:rsid w:val="00732D6C"/>
    <w:rsid w:val="00732F60"/>
    <w:rsid w:val="007330D8"/>
    <w:rsid w:val="0073323F"/>
    <w:rsid w:val="007335E0"/>
    <w:rsid w:val="0073367A"/>
    <w:rsid w:val="007336C2"/>
    <w:rsid w:val="007336D0"/>
    <w:rsid w:val="00733A4D"/>
    <w:rsid w:val="00733D38"/>
    <w:rsid w:val="0073430B"/>
    <w:rsid w:val="00734A77"/>
    <w:rsid w:val="00734C1C"/>
    <w:rsid w:val="00734EFD"/>
    <w:rsid w:val="00735136"/>
    <w:rsid w:val="007352A2"/>
    <w:rsid w:val="00735476"/>
    <w:rsid w:val="00735D15"/>
    <w:rsid w:val="00735F77"/>
    <w:rsid w:val="00736208"/>
    <w:rsid w:val="007363B8"/>
    <w:rsid w:val="007363CA"/>
    <w:rsid w:val="007364A8"/>
    <w:rsid w:val="00736D83"/>
    <w:rsid w:val="00737157"/>
    <w:rsid w:val="0073728F"/>
    <w:rsid w:val="007376D4"/>
    <w:rsid w:val="00737726"/>
    <w:rsid w:val="00737A2B"/>
    <w:rsid w:val="00737DD1"/>
    <w:rsid w:val="007403FE"/>
    <w:rsid w:val="007406A5"/>
    <w:rsid w:val="00740796"/>
    <w:rsid w:val="00740842"/>
    <w:rsid w:val="0074086D"/>
    <w:rsid w:val="00740A67"/>
    <w:rsid w:val="00740D91"/>
    <w:rsid w:val="00740DAB"/>
    <w:rsid w:val="00740E67"/>
    <w:rsid w:val="00740FAE"/>
    <w:rsid w:val="0074107F"/>
    <w:rsid w:val="0074168D"/>
    <w:rsid w:val="007417D7"/>
    <w:rsid w:val="00741836"/>
    <w:rsid w:val="00741928"/>
    <w:rsid w:val="00741C1D"/>
    <w:rsid w:val="00741F2A"/>
    <w:rsid w:val="00742304"/>
    <w:rsid w:val="00742440"/>
    <w:rsid w:val="00742C96"/>
    <w:rsid w:val="00742D1D"/>
    <w:rsid w:val="00742F6C"/>
    <w:rsid w:val="007430A3"/>
    <w:rsid w:val="00743506"/>
    <w:rsid w:val="007436A1"/>
    <w:rsid w:val="00743814"/>
    <w:rsid w:val="0074397E"/>
    <w:rsid w:val="007439CE"/>
    <w:rsid w:val="00743B80"/>
    <w:rsid w:val="00743C63"/>
    <w:rsid w:val="00743E08"/>
    <w:rsid w:val="00744074"/>
    <w:rsid w:val="00744750"/>
    <w:rsid w:val="00744E7B"/>
    <w:rsid w:val="00745215"/>
    <w:rsid w:val="0074534B"/>
    <w:rsid w:val="007456D3"/>
    <w:rsid w:val="007456F4"/>
    <w:rsid w:val="007457E4"/>
    <w:rsid w:val="00745A9D"/>
    <w:rsid w:val="00745C92"/>
    <w:rsid w:val="00745CA9"/>
    <w:rsid w:val="00745CC0"/>
    <w:rsid w:val="007464C3"/>
    <w:rsid w:val="007466C4"/>
    <w:rsid w:val="00746725"/>
    <w:rsid w:val="00746727"/>
    <w:rsid w:val="00746966"/>
    <w:rsid w:val="00746BA4"/>
    <w:rsid w:val="00746BD9"/>
    <w:rsid w:val="007472C7"/>
    <w:rsid w:val="00747358"/>
    <w:rsid w:val="00747620"/>
    <w:rsid w:val="00747BCF"/>
    <w:rsid w:val="00750361"/>
    <w:rsid w:val="0075038C"/>
    <w:rsid w:val="00750492"/>
    <w:rsid w:val="007506AF"/>
    <w:rsid w:val="00750A13"/>
    <w:rsid w:val="00750A5B"/>
    <w:rsid w:val="00750AD5"/>
    <w:rsid w:val="00750BAB"/>
    <w:rsid w:val="00750C51"/>
    <w:rsid w:val="00750CD5"/>
    <w:rsid w:val="00750E08"/>
    <w:rsid w:val="007510CF"/>
    <w:rsid w:val="007513BA"/>
    <w:rsid w:val="0075163D"/>
    <w:rsid w:val="007516BD"/>
    <w:rsid w:val="00751E2C"/>
    <w:rsid w:val="00752245"/>
    <w:rsid w:val="00752662"/>
    <w:rsid w:val="0075315B"/>
    <w:rsid w:val="00753322"/>
    <w:rsid w:val="00753404"/>
    <w:rsid w:val="00753BE7"/>
    <w:rsid w:val="00753D76"/>
    <w:rsid w:val="007541B8"/>
    <w:rsid w:val="00754E32"/>
    <w:rsid w:val="00754F93"/>
    <w:rsid w:val="007550AD"/>
    <w:rsid w:val="00755266"/>
    <w:rsid w:val="007558EF"/>
    <w:rsid w:val="00755F82"/>
    <w:rsid w:val="007562A8"/>
    <w:rsid w:val="0075648C"/>
    <w:rsid w:val="00756F66"/>
    <w:rsid w:val="00756F77"/>
    <w:rsid w:val="00757159"/>
    <w:rsid w:val="0075726B"/>
    <w:rsid w:val="00757508"/>
    <w:rsid w:val="0075754E"/>
    <w:rsid w:val="0075755C"/>
    <w:rsid w:val="0075774B"/>
    <w:rsid w:val="007577BE"/>
    <w:rsid w:val="00757896"/>
    <w:rsid w:val="007578A4"/>
    <w:rsid w:val="00757A66"/>
    <w:rsid w:val="00757BEC"/>
    <w:rsid w:val="00757FB2"/>
    <w:rsid w:val="00760040"/>
    <w:rsid w:val="007601B4"/>
    <w:rsid w:val="007601F4"/>
    <w:rsid w:val="00760BA3"/>
    <w:rsid w:val="00760CC0"/>
    <w:rsid w:val="007611A7"/>
    <w:rsid w:val="0076137A"/>
    <w:rsid w:val="00761548"/>
    <w:rsid w:val="007618C0"/>
    <w:rsid w:val="00761ABE"/>
    <w:rsid w:val="00761B45"/>
    <w:rsid w:val="00761B73"/>
    <w:rsid w:val="00761C72"/>
    <w:rsid w:val="00761C97"/>
    <w:rsid w:val="00761CE7"/>
    <w:rsid w:val="00761EE4"/>
    <w:rsid w:val="00761FD3"/>
    <w:rsid w:val="00762374"/>
    <w:rsid w:val="007628EA"/>
    <w:rsid w:val="007629BF"/>
    <w:rsid w:val="00762B7A"/>
    <w:rsid w:val="00762C83"/>
    <w:rsid w:val="00762CAA"/>
    <w:rsid w:val="00762EC3"/>
    <w:rsid w:val="00762FE7"/>
    <w:rsid w:val="0076301D"/>
    <w:rsid w:val="00763166"/>
    <w:rsid w:val="007631B8"/>
    <w:rsid w:val="007634E1"/>
    <w:rsid w:val="00763519"/>
    <w:rsid w:val="00763A3D"/>
    <w:rsid w:val="00763CA6"/>
    <w:rsid w:val="00763D07"/>
    <w:rsid w:val="00763D9F"/>
    <w:rsid w:val="00763E5A"/>
    <w:rsid w:val="0076430C"/>
    <w:rsid w:val="00764334"/>
    <w:rsid w:val="00764A2E"/>
    <w:rsid w:val="00764E67"/>
    <w:rsid w:val="00764EF0"/>
    <w:rsid w:val="007655DB"/>
    <w:rsid w:val="007655DD"/>
    <w:rsid w:val="007656A2"/>
    <w:rsid w:val="007658DA"/>
    <w:rsid w:val="00765A8D"/>
    <w:rsid w:val="00765EA9"/>
    <w:rsid w:val="00766020"/>
    <w:rsid w:val="007660C4"/>
    <w:rsid w:val="007663D9"/>
    <w:rsid w:val="0076677B"/>
    <w:rsid w:val="00766925"/>
    <w:rsid w:val="00766C16"/>
    <w:rsid w:val="00766E65"/>
    <w:rsid w:val="00766FA3"/>
    <w:rsid w:val="007670D5"/>
    <w:rsid w:val="007670E5"/>
    <w:rsid w:val="00767583"/>
    <w:rsid w:val="007678F7"/>
    <w:rsid w:val="00767B28"/>
    <w:rsid w:val="00767B6A"/>
    <w:rsid w:val="00767EE7"/>
    <w:rsid w:val="007700F1"/>
    <w:rsid w:val="00770455"/>
    <w:rsid w:val="007706AC"/>
    <w:rsid w:val="007706DB"/>
    <w:rsid w:val="00770729"/>
    <w:rsid w:val="007707FC"/>
    <w:rsid w:val="00770AF3"/>
    <w:rsid w:val="00770BB4"/>
    <w:rsid w:val="007718D0"/>
    <w:rsid w:val="00771C25"/>
    <w:rsid w:val="00771D8F"/>
    <w:rsid w:val="00771F17"/>
    <w:rsid w:val="00771F42"/>
    <w:rsid w:val="007721D3"/>
    <w:rsid w:val="007724E4"/>
    <w:rsid w:val="00772647"/>
    <w:rsid w:val="0077283A"/>
    <w:rsid w:val="007728D3"/>
    <w:rsid w:val="00772937"/>
    <w:rsid w:val="00772CE9"/>
    <w:rsid w:val="00772D91"/>
    <w:rsid w:val="00773145"/>
    <w:rsid w:val="00773A05"/>
    <w:rsid w:val="00773A93"/>
    <w:rsid w:val="00773BE0"/>
    <w:rsid w:val="00773CAC"/>
    <w:rsid w:val="00773D35"/>
    <w:rsid w:val="00773DB5"/>
    <w:rsid w:val="007746EA"/>
    <w:rsid w:val="007749F6"/>
    <w:rsid w:val="0077509C"/>
    <w:rsid w:val="00775391"/>
    <w:rsid w:val="00775528"/>
    <w:rsid w:val="00775716"/>
    <w:rsid w:val="00775D86"/>
    <w:rsid w:val="00776085"/>
    <w:rsid w:val="007761DE"/>
    <w:rsid w:val="007762A0"/>
    <w:rsid w:val="007764E8"/>
    <w:rsid w:val="007767EB"/>
    <w:rsid w:val="0077690D"/>
    <w:rsid w:val="00776C5D"/>
    <w:rsid w:val="0077724F"/>
    <w:rsid w:val="00777482"/>
    <w:rsid w:val="00777B94"/>
    <w:rsid w:val="00780815"/>
    <w:rsid w:val="00780889"/>
    <w:rsid w:val="00780903"/>
    <w:rsid w:val="00780F90"/>
    <w:rsid w:val="0078116B"/>
    <w:rsid w:val="00781567"/>
    <w:rsid w:val="00781C7F"/>
    <w:rsid w:val="00781D5E"/>
    <w:rsid w:val="00781E21"/>
    <w:rsid w:val="00782126"/>
    <w:rsid w:val="0078256B"/>
    <w:rsid w:val="00782613"/>
    <w:rsid w:val="007827B2"/>
    <w:rsid w:val="00782899"/>
    <w:rsid w:val="0078338B"/>
    <w:rsid w:val="00783934"/>
    <w:rsid w:val="00783BF9"/>
    <w:rsid w:val="00783CC5"/>
    <w:rsid w:val="007844BF"/>
    <w:rsid w:val="0078453F"/>
    <w:rsid w:val="00784578"/>
    <w:rsid w:val="00784689"/>
    <w:rsid w:val="007847E2"/>
    <w:rsid w:val="007849BD"/>
    <w:rsid w:val="00784A29"/>
    <w:rsid w:val="00785290"/>
    <w:rsid w:val="00785613"/>
    <w:rsid w:val="0078563D"/>
    <w:rsid w:val="007856A7"/>
    <w:rsid w:val="00785BE7"/>
    <w:rsid w:val="00785CA6"/>
    <w:rsid w:val="007860C2"/>
    <w:rsid w:val="007865BE"/>
    <w:rsid w:val="00786741"/>
    <w:rsid w:val="0078680A"/>
    <w:rsid w:val="00786895"/>
    <w:rsid w:val="00786990"/>
    <w:rsid w:val="00786AF2"/>
    <w:rsid w:val="00786CD4"/>
    <w:rsid w:val="00786D93"/>
    <w:rsid w:val="00786EB7"/>
    <w:rsid w:val="007876D3"/>
    <w:rsid w:val="00787718"/>
    <w:rsid w:val="007877DB"/>
    <w:rsid w:val="007877F2"/>
    <w:rsid w:val="00787828"/>
    <w:rsid w:val="00787916"/>
    <w:rsid w:val="00787A76"/>
    <w:rsid w:val="00787B35"/>
    <w:rsid w:val="00787C06"/>
    <w:rsid w:val="00787EF0"/>
    <w:rsid w:val="00790091"/>
    <w:rsid w:val="00790259"/>
    <w:rsid w:val="007903C9"/>
    <w:rsid w:val="007903FC"/>
    <w:rsid w:val="007905A0"/>
    <w:rsid w:val="0079071D"/>
    <w:rsid w:val="00790874"/>
    <w:rsid w:val="0079087A"/>
    <w:rsid w:val="00790911"/>
    <w:rsid w:val="007909E0"/>
    <w:rsid w:val="00790E35"/>
    <w:rsid w:val="007911EC"/>
    <w:rsid w:val="0079121D"/>
    <w:rsid w:val="007912BA"/>
    <w:rsid w:val="007912BB"/>
    <w:rsid w:val="0079140A"/>
    <w:rsid w:val="0079175F"/>
    <w:rsid w:val="00791DBC"/>
    <w:rsid w:val="00791F65"/>
    <w:rsid w:val="007921BA"/>
    <w:rsid w:val="0079267D"/>
    <w:rsid w:val="00792809"/>
    <w:rsid w:val="00792835"/>
    <w:rsid w:val="00792B9A"/>
    <w:rsid w:val="00792BA0"/>
    <w:rsid w:val="007931D3"/>
    <w:rsid w:val="00793521"/>
    <w:rsid w:val="007936CF"/>
    <w:rsid w:val="007939CE"/>
    <w:rsid w:val="00793BB2"/>
    <w:rsid w:val="00793C77"/>
    <w:rsid w:val="00793C9E"/>
    <w:rsid w:val="00793D83"/>
    <w:rsid w:val="00794576"/>
    <w:rsid w:val="007945A4"/>
    <w:rsid w:val="007948A3"/>
    <w:rsid w:val="00794AA8"/>
    <w:rsid w:val="007952DD"/>
    <w:rsid w:val="00795528"/>
    <w:rsid w:val="0079553D"/>
    <w:rsid w:val="00795DA2"/>
    <w:rsid w:val="00795DC8"/>
    <w:rsid w:val="00796576"/>
    <w:rsid w:val="0079664A"/>
    <w:rsid w:val="00796921"/>
    <w:rsid w:val="00796A0B"/>
    <w:rsid w:val="0079731E"/>
    <w:rsid w:val="007975EE"/>
    <w:rsid w:val="007976EB"/>
    <w:rsid w:val="00797818"/>
    <w:rsid w:val="007978A1"/>
    <w:rsid w:val="007978B8"/>
    <w:rsid w:val="00797A3B"/>
    <w:rsid w:val="00797D81"/>
    <w:rsid w:val="007A02BB"/>
    <w:rsid w:val="007A05E8"/>
    <w:rsid w:val="007A0715"/>
    <w:rsid w:val="007A0B5D"/>
    <w:rsid w:val="007A1695"/>
    <w:rsid w:val="007A1800"/>
    <w:rsid w:val="007A1873"/>
    <w:rsid w:val="007A1946"/>
    <w:rsid w:val="007A1FDD"/>
    <w:rsid w:val="007A1FFF"/>
    <w:rsid w:val="007A2180"/>
    <w:rsid w:val="007A21C7"/>
    <w:rsid w:val="007A2286"/>
    <w:rsid w:val="007A2445"/>
    <w:rsid w:val="007A267B"/>
    <w:rsid w:val="007A27F5"/>
    <w:rsid w:val="007A2837"/>
    <w:rsid w:val="007A2A58"/>
    <w:rsid w:val="007A2D6E"/>
    <w:rsid w:val="007A312B"/>
    <w:rsid w:val="007A3271"/>
    <w:rsid w:val="007A356B"/>
    <w:rsid w:val="007A39C9"/>
    <w:rsid w:val="007A4270"/>
    <w:rsid w:val="007A43C1"/>
    <w:rsid w:val="007A464A"/>
    <w:rsid w:val="007A4757"/>
    <w:rsid w:val="007A4818"/>
    <w:rsid w:val="007A4CB8"/>
    <w:rsid w:val="007A4E47"/>
    <w:rsid w:val="007A4FF7"/>
    <w:rsid w:val="007A500F"/>
    <w:rsid w:val="007A50EC"/>
    <w:rsid w:val="007A516F"/>
    <w:rsid w:val="007A51A0"/>
    <w:rsid w:val="007A5E32"/>
    <w:rsid w:val="007A6133"/>
    <w:rsid w:val="007A623E"/>
    <w:rsid w:val="007A6ABA"/>
    <w:rsid w:val="007A6CE1"/>
    <w:rsid w:val="007A6D7C"/>
    <w:rsid w:val="007A6F24"/>
    <w:rsid w:val="007A6FE9"/>
    <w:rsid w:val="007A703E"/>
    <w:rsid w:val="007A70A5"/>
    <w:rsid w:val="007A71FD"/>
    <w:rsid w:val="007A72CD"/>
    <w:rsid w:val="007A7340"/>
    <w:rsid w:val="007A77DA"/>
    <w:rsid w:val="007A7949"/>
    <w:rsid w:val="007A7AEA"/>
    <w:rsid w:val="007A7B1C"/>
    <w:rsid w:val="007B0158"/>
    <w:rsid w:val="007B01E1"/>
    <w:rsid w:val="007B0242"/>
    <w:rsid w:val="007B0761"/>
    <w:rsid w:val="007B09D1"/>
    <w:rsid w:val="007B0CCC"/>
    <w:rsid w:val="007B0D70"/>
    <w:rsid w:val="007B0D8C"/>
    <w:rsid w:val="007B1319"/>
    <w:rsid w:val="007B142D"/>
    <w:rsid w:val="007B165B"/>
    <w:rsid w:val="007B1935"/>
    <w:rsid w:val="007B1C3D"/>
    <w:rsid w:val="007B1FB0"/>
    <w:rsid w:val="007B23C6"/>
    <w:rsid w:val="007B23D8"/>
    <w:rsid w:val="007B25CD"/>
    <w:rsid w:val="007B25D5"/>
    <w:rsid w:val="007B2674"/>
    <w:rsid w:val="007B2840"/>
    <w:rsid w:val="007B2AD9"/>
    <w:rsid w:val="007B2B14"/>
    <w:rsid w:val="007B2EFF"/>
    <w:rsid w:val="007B2FEC"/>
    <w:rsid w:val="007B30CB"/>
    <w:rsid w:val="007B31C4"/>
    <w:rsid w:val="007B3420"/>
    <w:rsid w:val="007B3B24"/>
    <w:rsid w:val="007B3CC0"/>
    <w:rsid w:val="007B3CE7"/>
    <w:rsid w:val="007B3D1B"/>
    <w:rsid w:val="007B3DB8"/>
    <w:rsid w:val="007B3EAB"/>
    <w:rsid w:val="007B419B"/>
    <w:rsid w:val="007B42D2"/>
    <w:rsid w:val="007B42DF"/>
    <w:rsid w:val="007B4CCB"/>
    <w:rsid w:val="007B5099"/>
    <w:rsid w:val="007B5635"/>
    <w:rsid w:val="007B59D4"/>
    <w:rsid w:val="007B5ADA"/>
    <w:rsid w:val="007B5D71"/>
    <w:rsid w:val="007B5EB7"/>
    <w:rsid w:val="007B5EC2"/>
    <w:rsid w:val="007B674F"/>
    <w:rsid w:val="007B6984"/>
    <w:rsid w:val="007B69CC"/>
    <w:rsid w:val="007B69FD"/>
    <w:rsid w:val="007B6A7B"/>
    <w:rsid w:val="007B6B7A"/>
    <w:rsid w:val="007B6E16"/>
    <w:rsid w:val="007B7884"/>
    <w:rsid w:val="007B7913"/>
    <w:rsid w:val="007B7CC4"/>
    <w:rsid w:val="007C02BF"/>
    <w:rsid w:val="007C0831"/>
    <w:rsid w:val="007C086C"/>
    <w:rsid w:val="007C0940"/>
    <w:rsid w:val="007C09EE"/>
    <w:rsid w:val="007C0E94"/>
    <w:rsid w:val="007C1016"/>
    <w:rsid w:val="007C109C"/>
    <w:rsid w:val="007C158F"/>
    <w:rsid w:val="007C16A9"/>
    <w:rsid w:val="007C17EE"/>
    <w:rsid w:val="007C1993"/>
    <w:rsid w:val="007C2CC7"/>
    <w:rsid w:val="007C2D56"/>
    <w:rsid w:val="007C2E8E"/>
    <w:rsid w:val="007C368F"/>
    <w:rsid w:val="007C3D25"/>
    <w:rsid w:val="007C40CC"/>
    <w:rsid w:val="007C46F4"/>
    <w:rsid w:val="007C47ED"/>
    <w:rsid w:val="007C4A91"/>
    <w:rsid w:val="007C4E2E"/>
    <w:rsid w:val="007C5329"/>
    <w:rsid w:val="007C533E"/>
    <w:rsid w:val="007C539C"/>
    <w:rsid w:val="007C582F"/>
    <w:rsid w:val="007C5CE7"/>
    <w:rsid w:val="007C5FEC"/>
    <w:rsid w:val="007C6494"/>
    <w:rsid w:val="007C6ABC"/>
    <w:rsid w:val="007C6BB9"/>
    <w:rsid w:val="007C6C53"/>
    <w:rsid w:val="007C7CC5"/>
    <w:rsid w:val="007D0098"/>
    <w:rsid w:val="007D0750"/>
    <w:rsid w:val="007D0934"/>
    <w:rsid w:val="007D0945"/>
    <w:rsid w:val="007D0CD8"/>
    <w:rsid w:val="007D0D4B"/>
    <w:rsid w:val="007D100B"/>
    <w:rsid w:val="007D108A"/>
    <w:rsid w:val="007D110F"/>
    <w:rsid w:val="007D118C"/>
    <w:rsid w:val="007D12E7"/>
    <w:rsid w:val="007D1BEA"/>
    <w:rsid w:val="007D1DA7"/>
    <w:rsid w:val="007D1E51"/>
    <w:rsid w:val="007D1EEA"/>
    <w:rsid w:val="007D2155"/>
    <w:rsid w:val="007D2AA9"/>
    <w:rsid w:val="007D2CA7"/>
    <w:rsid w:val="007D2E8E"/>
    <w:rsid w:val="007D2F22"/>
    <w:rsid w:val="007D3465"/>
    <w:rsid w:val="007D3CDB"/>
    <w:rsid w:val="007D3D13"/>
    <w:rsid w:val="007D3ED0"/>
    <w:rsid w:val="007D44A3"/>
    <w:rsid w:val="007D4574"/>
    <w:rsid w:val="007D4677"/>
    <w:rsid w:val="007D46C2"/>
    <w:rsid w:val="007D4834"/>
    <w:rsid w:val="007D4940"/>
    <w:rsid w:val="007D4F77"/>
    <w:rsid w:val="007D5204"/>
    <w:rsid w:val="007D5249"/>
    <w:rsid w:val="007D531F"/>
    <w:rsid w:val="007D54C4"/>
    <w:rsid w:val="007D560F"/>
    <w:rsid w:val="007D5762"/>
    <w:rsid w:val="007D590D"/>
    <w:rsid w:val="007D5DF4"/>
    <w:rsid w:val="007D5F6B"/>
    <w:rsid w:val="007D60BF"/>
    <w:rsid w:val="007D60D5"/>
    <w:rsid w:val="007D620E"/>
    <w:rsid w:val="007D66D4"/>
    <w:rsid w:val="007D678A"/>
    <w:rsid w:val="007D6B6A"/>
    <w:rsid w:val="007D6D97"/>
    <w:rsid w:val="007D6FF5"/>
    <w:rsid w:val="007D7150"/>
    <w:rsid w:val="007D7152"/>
    <w:rsid w:val="007D752B"/>
    <w:rsid w:val="007D7719"/>
    <w:rsid w:val="007D7763"/>
    <w:rsid w:val="007D7EC5"/>
    <w:rsid w:val="007D7EDA"/>
    <w:rsid w:val="007D7EFE"/>
    <w:rsid w:val="007E00A7"/>
    <w:rsid w:val="007E056D"/>
    <w:rsid w:val="007E05D8"/>
    <w:rsid w:val="007E0965"/>
    <w:rsid w:val="007E14E0"/>
    <w:rsid w:val="007E1530"/>
    <w:rsid w:val="007E1B1D"/>
    <w:rsid w:val="007E1B2A"/>
    <w:rsid w:val="007E1BAE"/>
    <w:rsid w:val="007E1C04"/>
    <w:rsid w:val="007E1C06"/>
    <w:rsid w:val="007E21D9"/>
    <w:rsid w:val="007E2264"/>
    <w:rsid w:val="007E23CE"/>
    <w:rsid w:val="007E2F78"/>
    <w:rsid w:val="007E31F1"/>
    <w:rsid w:val="007E353F"/>
    <w:rsid w:val="007E3661"/>
    <w:rsid w:val="007E3834"/>
    <w:rsid w:val="007E3A94"/>
    <w:rsid w:val="007E3C2F"/>
    <w:rsid w:val="007E3C4C"/>
    <w:rsid w:val="007E4003"/>
    <w:rsid w:val="007E419C"/>
    <w:rsid w:val="007E442E"/>
    <w:rsid w:val="007E45EF"/>
    <w:rsid w:val="007E45F7"/>
    <w:rsid w:val="007E4687"/>
    <w:rsid w:val="007E49D1"/>
    <w:rsid w:val="007E50C6"/>
    <w:rsid w:val="007E529F"/>
    <w:rsid w:val="007E54B3"/>
    <w:rsid w:val="007E5837"/>
    <w:rsid w:val="007E58A8"/>
    <w:rsid w:val="007E5E15"/>
    <w:rsid w:val="007E6341"/>
    <w:rsid w:val="007E6429"/>
    <w:rsid w:val="007E669E"/>
    <w:rsid w:val="007E66DF"/>
    <w:rsid w:val="007E671A"/>
    <w:rsid w:val="007E6892"/>
    <w:rsid w:val="007E6AB1"/>
    <w:rsid w:val="007E72C9"/>
    <w:rsid w:val="007E742C"/>
    <w:rsid w:val="007E75D6"/>
    <w:rsid w:val="007E7610"/>
    <w:rsid w:val="007E7BA6"/>
    <w:rsid w:val="007E7DEF"/>
    <w:rsid w:val="007F0012"/>
    <w:rsid w:val="007F05C4"/>
    <w:rsid w:val="007F0686"/>
    <w:rsid w:val="007F0911"/>
    <w:rsid w:val="007F0A1D"/>
    <w:rsid w:val="007F0B43"/>
    <w:rsid w:val="007F0E57"/>
    <w:rsid w:val="007F0F10"/>
    <w:rsid w:val="007F12B2"/>
    <w:rsid w:val="007F137A"/>
    <w:rsid w:val="007F1761"/>
    <w:rsid w:val="007F1D81"/>
    <w:rsid w:val="007F2134"/>
    <w:rsid w:val="007F2149"/>
    <w:rsid w:val="007F2353"/>
    <w:rsid w:val="007F2405"/>
    <w:rsid w:val="007F24D1"/>
    <w:rsid w:val="007F27E6"/>
    <w:rsid w:val="007F2AD9"/>
    <w:rsid w:val="007F30B8"/>
    <w:rsid w:val="007F3137"/>
    <w:rsid w:val="007F3695"/>
    <w:rsid w:val="007F36DE"/>
    <w:rsid w:val="007F36E4"/>
    <w:rsid w:val="007F3902"/>
    <w:rsid w:val="007F3954"/>
    <w:rsid w:val="007F3A94"/>
    <w:rsid w:val="007F3AC0"/>
    <w:rsid w:val="007F3C98"/>
    <w:rsid w:val="007F4133"/>
    <w:rsid w:val="007F44A3"/>
    <w:rsid w:val="007F4B43"/>
    <w:rsid w:val="007F4DF5"/>
    <w:rsid w:val="007F5240"/>
    <w:rsid w:val="007F52B0"/>
    <w:rsid w:val="007F582F"/>
    <w:rsid w:val="007F58B7"/>
    <w:rsid w:val="007F59C0"/>
    <w:rsid w:val="007F5D7E"/>
    <w:rsid w:val="007F60E5"/>
    <w:rsid w:val="007F6134"/>
    <w:rsid w:val="007F627E"/>
    <w:rsid w:val="007F6346"/>
    <w:rsid w:val="007F6501"/>
    <w:rsid w:val="007F65F0"/>
    <w:rsid w:val="007F6B92"/>
    <w:rsid w:val="007F6C5E"/>
    <w:rsid w:val="007F6D2F"/>
    <w:rsid w:val="007F6D5D"/>
    <w:rsid w:val="007F768F"/>
    <w:rsid w:val="007F774B"/>
    <w:rsid w:val="007F7F66"/>
    <w:rsid w:val="008000EC"/>
    <w:rsid w:val="008002E6"/>
    <w:rsid w:val="00800BDB"/>
    <w:rsid w:val="00800CD2"/>
    <w:rsid w:val="00800EDA"/>
    <w:rsid w:val="00801058"/>
    <w:rsid w:val="008016EE"/>
    <w:rsid w:val="00801808"/>
    <w:rsid w:val="0080188A"/>
    <w:rsid w:val="00801C19"/>
    <w:rsid w:val="00801CC6"/>
    <w:rsid w:val="00801ECF"/>
    <w:rsid w:val="00801F8C"/>
    <w:rsid w:val="008020E2"/>
    <w:rsid w:val="0080230F"/>
    <w:rsid w:val="008027C0"/>
    <w:rsid w:val="00802CC2"/>
    <w:rsid w:val="0080315F"/>
    <w:rsid w:val="008035AF"/>
    <w:rsid w:val="00803897"/>
    <w:rsid w:val="008039A5"/>
    <w:rsid w:val="0080407A"/>
    <w:rsid w:val="008049CF"/>
    <w:rsid w:val="00804C20"/>
    <w:rsid w:val="00805088"/>
    <w:rsid w:val="00805323"/>
    <w:rsid w:val="008059D0"/>
    <w:rsid w:val="00805C97"/>
    <w:rsid w:val="00805D01"/>
    <w:rsid w:val="00805DA0"/>
    <w:rsid w:val="0080611A"/>
    <w:rsid w:val="008062FC"/>
    <w:rsid w:val="008064B9"/>
    <w:rsid w:val="0080673E"/>
    <w:rsid w:val="00806BC4"/>
    <w:rsid w:val="00806BD3"/>
    <w:rsid w:val="00806CCD"/>
    <w:rsid w:val="00806DF6"/>
    <w:rsid w:val="0080706F"/>
    <w:rsid w:val="00807136"/>
    <w:rsid w:val="00807419"/>
    <w:rsid w:val="00807872"/>
    <w:rsid w:val="0080792C"/>
    <w:rsid w:val="00807B2F"/>
    <w:rsid w:val="00807C57"/>
    <w:rsid w:val="00807D4D"/>
    <w:rsid w:val="008103CD"/>
    <w:rsid w:val="0081072F"/>
    <w:rsid w:val="008108C0"/>
    <w:rsid w:val="00810C52"/>
    <w:rsid w:val="00810F58"/>
    <w:rsid w:val="00811561"/>
    <w:rsid w:val="00811710"/>
    <w:rsid w:val="00811A8C"/>
    <w:rsid w:val="00811C26"/>
    <w:rsid w:val="00811EA8"/>
    <w:rsid w:val="00811ECA"/>
    <w:rsid w:val="00811F74"/>
    <w:rsid w:val="00812575"/>
    <w:rsid w:val="008128E6"/>
    <w:rsid w:val="00812BBB"/>
    <w:rsid w:val="00813428"/>
    <w:rsid w:val="00813632"/>
    <w:rsid w:val="008136F2"/>
    <w:rsid w:val="008137B2"/>
    <w:rsid w:val="00813807"/>
    <w:rsid w:val="008138FC"/>
    <w:rsid w:val="00813BC5"/>
    <w:rsid w:val="00813E02"/>
    <w:rsid w:val="00813E67"/>
    <w:rsid w:val="00813EBA"/>
    <w:rsid w:val="00813ED3"/>
    <w:rsid w:val="00813F61"/>
    <w:rsid w:val="00814005"/>
    <w:rsid w:val="008140AD"/>
    <w:rsid w:val="008146E4"/>
    <w:rsid w:val="00814B44"/>
    <w:rsid w:val="00814DF8"/>
    <w:rsid w:val="00814E67"/>
    <w:rsid w:val="00815159"/>
    <w:rsid w:val="0081532A"/>
    <w:rsid w:val="008153E7"/>
    <w:rsid w:val="0081583E"/>
    <w:rsid w:val="00815A2F"/>
    <w:rsid w:val="00815A7D"/>
    <w:rsid w:val="00815B4A"/>
    <w:rsid w:val="00815C93"/>
    <w:rsid w:val="00815D0F"/>
    <w:rsid w:val="0081629A"/>
    <w:rsid w:val="0081641F"/>
    <w:rsid w:val="00816638"/>
    <w:rsid w:val="00817049"/>
    <w:rsid w:val="0081711B"/>
    <w:rsid w:val="0081713E"/>
    <w:rsid w:val="008171EF"/>
    <w:rsid w:val="0081726A"/>
    <w:rsid w:val="008174DC"/>
    <w:rsid w:val="0081782A"/>
    <w:rsid w:val="00817848"/>
    <w:rsid w:val="0081786B"/>
    <w:rsid w:val="00817B65"/>
    <w:rsid w:val="00817D82"/>
    <w:rsid w:val="00817F68"/>
    <w:rsid w:val="008201C2"/>
    <w:rsid w:val="0082054F"/>
    <w:rsid w:val="00820713"/>
    <w:rsid w:val="00820A71"/>
    <w:rsid w:val="008213A9"/>
    <w:rsid w:val="008214EC"/>
    <w:rsid w:val="00821694"/>
    <w:rsid w:val="00821AC6"/>
    <w:rsid w:val="00821BBC"/>
    <w:rsid w:val="00821DA6"/>
    <w:rsid w:val="00821E19"/>
    <w:rsid w:val="00821E50"/>
    <w:rsid w:val="00822375"/>
    <w:rsid w:val="008223FE"/>
    <w:rsid w:val="00822523"/>
    <w:rsid w:val="008226F7"/>
    <w:rsid w:val="00822B13"/>
    <w:rsid w:val="00822E1E"/>
    <w:rsid w:val="00822E54"/>
    <w:rsid w:val="00822F46"/>
    <w:rsid w:val="008230F8"/>
    <w:rsid w:val="0082342A"/>
    <w:rsid w:val="0082343E"/>
    <w:rsid w:val="0082370D"/>
    <w:rsid w:val="00823729"/>
    <w:rsid w:val="00823A58"/>
    <w:rsid w:val="00823D42"/>
    <w:rsid w:val="00823EB9"/>
    <w:rsid w:val="00824139"/>
    <w:rsid w:val="0082421C"/>
    <w:rsid w:val="0082492B"/>
    <w:rsid w:val="00824C23"/>
    <w:rsid w:val="00824F86"/>
    <w:rsid w:val="00824F87"/>
    <w:rsid w:val="008250DA"/>
    <w:rsid w:val="00825123"/>
    <w:rsid w:val="00825789"/>
    <w:rsid w:val="008259E9"/>
    <w:rsid w:val="00825D1C"/>
    <w:rsid w:val="00825ED7"/>
    <w:rsid w:val="00826615"/>
    <w:rsid w:val="0082663A"/>
    <w:rsid w:val="008266DB"/>
    <w:rsid w:val="00827041"/>
    <w:rsid w:val="0082711C"/>
    <w:rsid w:val="008271E5"/>
    <w:rsid w:val="0082746E"/>
    <w:rsid w:val="00827CB0"/>
    <w:rsid w:val="00827D0D"/>
    <w:rsid w:val="00827F01"/>
    <w:rsid w:val="0083001E"/>
    <w:rsid w:val="00830064"/>
    <w:rsid w:val="0083043E"/>
    <w:rsid w:val="0083070A"/>
    <w:rsid w:val="008311F7"/>
    <w:rsid w:val="008312F1"/>
    <w:rsid w:val="00831A73"/>
    <w:rsid w:val="00831CB7"/>
    <w:rsid w:val="00831F00"/>
    <w:rsid w:val="00832033"/>
    <w:rsid w:val="0083222F"/>
    <w:rsid w:val="008322F9"/>
    <w:rsid w:val="008323AE"/>
    <w:rsid w:val="008327E5"/>
    <w:rsid w:val="0083350F"/>
    <w:rsid w:val="00833567"/>
    <w:rsid w:val="0083366B"/>
    <w:rsid w:val="00833E30"/>
    <w:rsid w:val="0083416F"/>
    <w:rsid w:val="00834187"/>
    <w:rsid w:val="008345DA"/>
    <w:rsid w:val="008346EE"/>
    <w:rsid w:val="008347A4"/>
    <w:rsid w:val="00834994"/>
    <w:rsid w:val="008349B6"/>
    <w:rsid w:val="00834BB5"/>
    <w:rsid w:val="00834CD7"/>
    <w:rsid w:val="00834F21"/>
    <w:rsid w:val="008352C4"/>
    <w:rsid w:val="00835318"/>
    <w:rsid w:val="00835AFE"/>
    <w:rsid w:val="00835C25"/>
    <w:rsid w:val="00835DF5"/>
    <w:rsid w:val="00835EAF"/>
    <w:rsid w:val="00835F15"/>
    <w:rsid w:val="00836534"/>
    <w:rsid w:val="00836B0B"/>
    <w:rsid w:val="00836EB9"/>
    <w:rsid w:val="00837178"/>
    <w:rsid w:val="0083717D"/>
    <w:rsid w:val="008371D0"/>
    <w:rsid w:val="0083727F"/>
    <w:rsid w:val="00837548"/>
    <w:rsid w:val="008375BD"/>
    <w:rsid w:val="00837AE2"/>
    <w:rsid w:val="0084022E"/>
    <w:rsid w:val="00840327"/>
    <w:rsid w:val="00840CB3"/>
    <w:rsid w:val="00841235"/>
    <w:rsid w:val="008417BB"/>
    <w:rsid w:val="0084196A"/>
    <w:rsid w:val="00842290"/>
    <w:rsid w:val="0084240D"/>
    <w:rsid w:val="00842628"/>
    <w:rsid w:val="00842806"/>
    <w:rsid w:val="00842B55"/>
    <w:rsid w:val="00842C97"/>
    <w:rsid w:val="00842F45"/>
    <w:rsid w:val="00843011"/>
    <w:rsid w:val="0084304F"/>
    <w:rsid w:val="00843276"/>
    <w:rsid w:val="008434F3"/>
    <w:rsid w:val="008435AB"/>
    <w:rsid w:val="008439B0"/>
    <w:rsid w:val="00843C7A"/>
    <w:rsid w:val="00843CE1"/>
    <w:rsid w:val="00843E21"/>
    <w:rsid w:val="00843E71"/>
    <w:rsid w:val="00843FE2"/>
    <w:rsid w:val="008444AC"/>
    <w:rsid w:val="0084468D"/>
    <w:rsid w:val="00844736"/>
    <w:rsid w:val="00844F96"/>
    <w:rsid w:val="00845210"/>
    <w:rsid w:val="00845616"/>
    <w:rsid w:val="008456FD"/>
    <w:rsid w:val="00845D0D"/>
    <w:rsid w:val="00845E7C"/>
    <w:rsid w:val="00845FA1"/>
    <w:rsid w:val="00845FA5"/>
    <w:rsid w:val="00846104"/>
    <w:rsid w:val="008464EF"/>
    <w:rsid w:val="00846891"/>
    <w:rsid w:val="00846923"/>
    <w:rsid w:val="00846BCB"/>
    <w:rsid w:val="00846C2B"/>
    <w:rsid w:val="00846DA3"/>
    <w:rsid w:val="00846FDE"/>
    <w:rsid w:val="008470BA"/>
    <w:rsid w:val="0084711B"/>
    <w:rsid w:val="008471C3"/>
    <w:rsid w:val="008472D7"/>
    <w:rsid w:val="00847BE8"/>
    <w:rsid w:val="00847CAF"/>
    <w:rsid w:val="00847FCD"/>
    <w:rsid w:val="008503CF"/>
    <w:rsid w:val="0085042F"/>
    <w:rsid w:val="008506EB"/>
    <w:rsid w:val="0085082F"/>
    <w:rsid w:val="008508FB"/>
    <w:rsid w:val="00850A67"/>
    <w:rsid w:val="00850AB4"/>
    <w:rsid w:val="00850C6E"/>
    <w:rsid w:val="008510E9"/>
    <w:rsid w:val="008511EA"/>
    <w:rsid w:val="008515E8"/>
    <w:rsid w:val="00851656"/>
    <w:rsid w:val="00851B27"/>
    <w:rsid w:val="008525E1"/>
    <w:rsid w:val="00852738"/>
    <w:rsid w:val="008528CF"/>
    <w:rsid w:val="0085291A"/>
    <w:rsid w:val="00852A1A"/>
    <w:rsid w:val="00853083"/>
    <w:rsid w:val="008531F7"/>
    <w:rsid w:val="008535A2"/>
    <w:rsid w:val="008539A2"/>
    <w:rsid w:val="00853D19"/>
    <w:rsid w:val="00853E0C"/>
    <w:rsid w:val="00853FFB"/>
    <w:rsid w:val="00854267"/>
    <w:rsid w:val="0085439E"/>
    <w:rsid w:val="008543DF"/>
    <w:rsid w:val="0085440A"/>
    <w:rsid w:val="00854599"/>
    <w:rsid w:val="008545FC"/>
    <w:rsid w:val="00854A35"/>
    <w:rsid w:val="00854AC2"/>
    <w:rsid w:val="00854B1E"/>
    <w:rsid w:val="00854B4A"/>
    <w:rsid w:val="00854C88"/>
    <w:rsid w:val="00854FA6"/>
    <w:rsid w:val="0085515E"/>
    <w:rsid w:val="008552D2"/>
    <w:rsid w:val="008552F5"/>
    <w:rsid w:val="008556BB"/>
    <w:rsid w:val="00855754"/>
    <w:rsid w:val="00855855"/>
    <w:rsid w:val="00855968"/>
    <w:rsid w:val="008559FE"/>
    <w:rsid w:val="00855BE1"/>
    <w:rsid w:val="00855CA7"/>
    <w:rsid w:val="00856123"/>
    <w:rsid w:val="008561B4"/>
    <w:rsid w:val="008561FD"/>
    <w:rsid w:val="008564A3"/>
    <w:rsid w:val="008565C1"/>
    <w:rsid w:val="00856608"/>
    <w:rsid w:val="00856665"/>
    <w:rsid w:val="008566AF"/>
    <w:rsid w:val="00857153"/>
    <w:rsid w:val="0085752F"/>
    <w:rsid w:val="00857678"/>
    <w:rsid w:val="00857B18"/>
    <w:rsid w:val="00857B76"/>
    <w:rsid w:val="00857EB2"/>
    <w:rsid w:val="00860AAB"/>
    <w:rsid w:val="00860AB1"/>
    <w:rsid w:val="00860CC9"/>
    <w:rsid w:val="00860DAD"/>
    <w:rsid w:val="00860DF9"/>
    <w:rsid w:val="008611CC"/>
    <w:rsid w:val="00861ACB"/>
    <w:rsid w:val="00861B0F"/>
    <w:rsid w:val="00861D3D"/>
    <w:rsid w:val="0086234F"/>
    <w:rsid w:val="008625B4"/>
    <w:rsid w:val="00862717"/>
    <w:rsid w:val="00862A8C"/>
    <w:rsid w:val="00862BD2"/>
    <w:rsid w:val="00862C29"/>
    <w:rsid w:val="00862D78"/>
    <w:rsid w:val="00862EEC"/>
    <w:rsid w:val="00863126"/>
    <w:rsid w:val="00863498"/>
    <w:rsid w:val="00863A09"/>
    <w:rsid w:val="00863E6F"/>
    <w:rsid w:val="008640DE"/>
    <w:rsid w:val="00864343"/>
    <w:rsid w:val="0086460E"/>
    <w:rsid w:val="0086462E"/>
    <w:rsid w:val="008647EF"/>
    <w:rsid w:val="00864848"/>
    <w:rsid w:val="00864B9A"/>
    <w:rsid w:val="00864D88"/>
    <w:rsid w:val="00864EA1"/>
    <w:rsid w:val="00864ECC"/>
    <w:rsid w:val="008652C0"/>
    <w:rsid w:val="00865953"/>
    <w:rsid w:val="00866219"/>
    <w:rsid w:val="008667A1"/>
    <w:rsid w:val="008667DB"/>
    <w:rsid w:val="00866BE1"/>
    <w:rsid w:val="00866E05"/>
    <w:rsid w:val="00866FEA"/>
    <w:rsid w:val="008674E9"/>
    <w:rsid w:val="00867560"/>
    <w:rsid w:val="008676A6"/>
    <w:rsid w:val="008676F6"/>
    <w:rsid w:val="00867CF3"/>
    <w:rsid w:val="00867DF7"/>
    <w:rsid w:val="0087095B"/>
    <w:rsid w:val="008709B6"/>
    <w:rsid w:val="00870CD9"/>
    <w:rsid w:val="00870D38"/>
    <w:rsid w:val="00870D5A"/>
    <w:rsid w:val="00870DC7"/>
    <w:rsid w:val="008711C3"/>
    <w:rsid w:val="00871687"/>
    <w:rsid w:val="008716C3"/>
    <w:rsid w:val="00871820"/>
    <w:rsid w:val="0087199A"/>
    <w:rsid w:val="00871C3F"/>
    <w:rsid w:val="00871D01"/>
    <w:rsid w:val="00871EEE"/>
    <w:rsid w:val="00872132"/>
    <w:rsid w:val="0087231D"/>
    <w:rsid w:val="00872456"/>
    <w:rsid w:val="00872C21"/>
    <w:rsid w:val="00872E40"/>
    <w:rsid w:val="00872E69"/>
    <w:rsid w:val="00872EA5"/>
    <w:rsid w:val="00873133"/>
    <w:rsid w:val="008735D2"/>
    <w:rsid w:val="008739EA"/>
    <w:rsid w:val="00873DFE"/>
    <w:rsid w:val="00873F4A"/>
    <w:rsid w:val="00874269"/>
    <w:rsid w:val="008743E1"/>
    <w:rsid w:val="00874618"/>
    <w:rsid w:val="00874649"/>
    <w:rsid w:val="0087466C"/>
    <w:rsid w:val="00874702"/>
    <w:rsid w:val="00874B8B"/>
    <w:rsid w:val="00874D64"/>
    <w:rsid w:val="00875758"/>
    <w:rsid w:val="008762EF"/>
    <w:rsid w:val="0087669D"/>
    <w:rsid w:val="00876D7F"/>
    <w:rsid w:val="00876D86"/>
    <w:rsid w:val="00876EC4"/>
    <w:rsid w:val="00876F87"/>
    <w:rsid w:val="00876FC7"/>
    <w:rsid w:val="00877077"/>
    <w:rsid w:val="00877232"/>
    <w:rsid w:val="008777FE"/>
    <w:rsid w:val="00877CAD"/>
    <w:rsid w:val="00880060"/>
    <w:rsid w:val="008800C0"/>
    <w:rsid w:val="008800F0"/>
    <w:rsid w:val="008806DF"/>
    <w:rsid w:val="00880707"/>
    <w:rsid w:val="008807EE"/>
    <w:rsid w:val="00880A6D"/>
    <w:rsid w:val="00880CB6"/>
    <w:rsid w:val="00880D0F"/>
    <w:rsid w:val="00880F0C"/>
    <w:rsid w:val="00880F2B"/>
    <w:rsid w:val="00881081"/>
    <w:rsid w:val="0088117C"/>
    <w:rsid w:val="008815E8"/>
    <w:rsid w:val="00881EB3"/>
    <w:rsid w:val="00881EDB"/>
    <w:rsid w:val="00881F24"/>
    <w:rsid w:val="008822F8"/>
    <w:rsid w:val="00882586"/>
    <w:rsid w:val="00882A91"/>
    <w:rsid w:val="00882AD2"/>
    <w:rsid w:val="00882F7C"/>
    <w:rsid w:val="008833BE"/>
    <w:rsid w:val="008835F2"/>
    <w:rsid w:val="00883C1A"/>
    <w:rsid w:val="00883EC9"/>
    <w:rsid w:val="008841B9"/>
    <w:rsid w:val="008847A8"/>
    <w:rsid w:val="00884BE1"/>
    <w:rsid w:val="00884C5F"/>
    <w:rsid w:val="00884F5F"/>
    <w:rsid w:val="00885374"/>
    <w:rsid w:val="008853E2"/>
    <w:rsid w:val="008854C1"/>
    <w:rsid w:val="00885684"/>
    <w:rsid w:val="008856BB"/>
    <w:rsid w:val="008857BF"/>
    <w:rsid w:val="00885BD3"/>
    <w:rsid w:val="00885E07"/>
    <w:rsid w:val="008861A0"/>
    <w:rsid w:val="00886320"/>
    <w:rsid w:val="00886444"/>
    <w:rsid w:val="00886926"/>
    <w:rsid w:val="00886F02"/>
    <w:rsid w:val="0088700E"/>
    <w:rsid w:val="008871F7"/>
    <w:rsid w:val="00887228"/>
    <w:rsid w:val="008872D6"/>
    <w:rsid w:val="00887367"/>
    <w:rsid w:val="00887471"/>
    <w:rsid w:val="00887511"/>
    <w:rsid w:val="00887BDA"/>
    <w:rsid w:val="00887E31"/>
    <w:rsid w:val="0089019E"/>
    <w:rsid w:val="00890465"/>
    <w:rsid w:val="00890748"/>
    <w:rsid w:val="00890BF3"/>
    <w:rsid w:val="00890F82"/>
    <w:rsid w:val="008910A1"/>
    <w:rsid w:val="00891103"/>
    <w:rsid w:val="0089112A"/>
    <w:rsid w:val="0089124C"/>
    <w:rsid w:val="00891768"/>
    <w:rsid w:val="00891910"/>
    <w:rsid w:val="008919CB"/>
    <w:rsid w:val="00891B58"/>
    <w:rsid w:val="00891E96"/>
    <w:rsid w:val="00891F17"/>
    <w:rsid w:val="00891F88"/>
    <w:rsid w:val="00891FFB"/>
    <w:rsid w:val="0089227F"/>
    <w:rsid w:val="008922C5"/>
    <w:rsid w:val="008923A8"/>
    <w:rsid w:val="008925E8"/>
    <w:rsid w:val="00892A01"/>
    <w:rsid w:val="00892BAB"/>
    <w:rsid w:val="00892E5F"/>
    <w:rsid w:val="0089369D"/>
    <w:rsid w:val="008936A9"/>
    <w:rsid w:val="008937B6"/>
    <w:rsid w:val="00893922"/>
    <w:rsid w:val="00893A87"/>
    <w:rsid w:val="00893D32"/>
    <w:rsid w:val="00893EF4"/>
    <w:rsid w:val="00893F35"/>
    <w:rsid w:val="0089423D"/>
    <w:rsid w:val="008943F7"/>
    <w:rsid w:val="0089442C"/>
    <w:rsid w:val="00894A16"/>
    <w:rsid w:val="00894B16"/>
    <w:rsid w:val="00894E55"/>
    <w:rsid w:val="00895672"/>
    <w:rsid w:val="008958BE"/>
    <w:rsid w:val="00895A34"/>
    <w:rsid w:val="00895CE0"/>
    <w:rsid w:val="008964E3"/>
    <w:rsid w:val="0089663E"/>
    <w:rsid w:val="00896679"/>
    <w:rsid w:val="008967D8"/>
    <w:rsid w:val="00896AEB"/>
    <w:rsid w:val="0089700E"/>
    <w:rsid w:val="008971D2"/>
    <w:rsid w:val="00897529"/>
    <w:rsid w:val="008976E3"/>
    <w:rsid w:val="008976E7"/>
    <w:rsid w:val="008978C9"/>
    <w:rsid w:val="008979B2"/>
    <w:rsid w:val="00897E26"/>
    <w:rsid w:val="008A01C1"/>
    <w:rsid w:val="008A02F2"/>
    <w:rsid w:val="008A0312"/>
    <w:rsid w:val="008A0BDD"/>
    <w:rsid w:val="008A0D20"/>
    <w:rsid w:val="008A0E4A"/>
    <w:rsid w:val="008A0EA0"/>
    <w:rsid w:val="008A0F89"/>
    <w:rsid w:val="008A1051"/>
    <w:rsid w:val="008A11EB"/>
    <w:rsid w:val="008A131A"/>
    <w:rsid w:val="008A150E"/>
    <w:rsid w:val="008A1973"/>
    <w:rsid w:val="008A1B43"/>
    <w:rsid w:val="008A1F4B"/>
    <w:rsid w:val="008A2208"/>
    <w:rsid w:val="008A2407"/>
    <w:rsid w:val="008A26E2"/>
    <w:rsid w:val="008A28FA"/>
    <w:rsid w:val="008A2948"/>
    <w:rsid w:val="008A2AA1"/>
    <w:rsid w:val="008A2B21"/>
    <w:rsid w:val="008A30B2"/>
    <w:rsid w:val="008A3445"/>
    <w:rsid w:val="008A365B"/>
    <w:rsid w:val="008A3925"/>
    <w:rsid w:val="008A39B6"/>
    <w:rsid w:val="008A3B48"/>
    <w:rsid w:val="008A3B72"/>
    <w:rsid w:val="008A3E5C"/>
    <w:rsid w:val="008A3F74"/>
    <w:rsid w:val="008A41B8"/>
    <w:rsid w:val="008A45B4"/>
    <w:rsid w:val="008A47BC"/>
    <w:rsid w:val="008A4CCE"/>
    <w:rsid w:val="008A4CF2"/>
    <w:rsid w:val="008A5692"/>
    <w:rsid w:val="008A588D"/>
    <w:rsid w:val="008A5B78"/>
    <w:rsid w:val="008A5B86"/>
    <w:rsid w:val="008A6067"/>
    <w:rsid w:val="008A66FA"/>
    <w:rsid w:val="008A6DB6"/>
    <w:rsid w:val="008A6E1E"/>
    <w:rsid w:val="008A6F9B"/>
    <w:rsid w:val="008A792C"/>
    <w:rsid w:val="008A7DB3"/>
    <w:rsid w:val="008A7E32"/>
    <w:rsid w:val="008A7E7C"/>
    <w:rsid w:val="008B039A"/>
    <w:rsid w:val="008B08B1"/>
    <w:rsid w:val="008B0B35"/>
    <w:rsid w:val="008B1154"/>
    <w:rsid w:val="008B149A"/>
    <w:rsid w:val="008B16B4"/>
    <w:rsid w:val="008B1724"/>
    <w:rsid w:val="008B1726"/>
    <w:rsid w:val="008B1ADB"/>
    <w:rsid w:val="008B1AFD"/>
    <w:rsid w:val="008B1B1F"/>
    <w:rsid w:val="008B1DC3"/>
    <w:rsid w:val="008B1F5F"/>
    <w:rsid w:val="008B1F78"/>
    <w:rsid w:val="008B260F"/>
    <w:rsid w:val="008B2C5A"/>
    <w:rsid w:val="008B2D14"/>
    <w:rsid w:val="008B2D71"/>
    <w:rsid w:val="008B3077"/>
    <w:rsid w:val="008B32A4"/>
    <w:rsid w:val="008B3895"/>
    <w:rsid w:val="008B3996"/>
    <w:rsid w:val="008B3CC7"/>
    <w:rsid w:val="008B4098"/>
    <w:rsid w:val="008B4B9D"/>
    <w:rsid w:val="008B58DB"/>
    <w:rsid w:val="008B5D4C"/>
    <w:rsid w:val="008B5F6F"/>
    <w:rsid w:val="008B5F9D"/>
    <w:rsid w:val="008B629F"/>
    <w:rsid w:val="008B63FB"/>
    <w:rsid w:val="008B66EA"/>
    <w:rsid w:val="008B6B93"/>
    <w:rsid w:val="008B6D5F"/>
    <w:rsid w:val="008B6F81"/>
    <w:rsid w:val="008B7001"/>
    <w:rsid w:val="008B7274"/>
    <w:rsid w:val="008B73F2"/>
    <w:rsid w:val="008B764D"/>
    <w:rsid w:val="008B7879"/>
    <w:rsid w:val="008B7A66"/>
    <w:rsid w:val="008B7DB5"/>
    <w:rsid w:val="008C0066"/>
    <w:rsid w:val="008C03F9"/>
    <w:rsid w:val="008C068E"/>
    <w:rsid w:val="008C0E1D"/>
    <w:rsid w:val="008C0E7E"/>
    <w:rsid w:val="008C0F14"/>
    <w:rsid w:val="008C11AA"/>
    <w:rsid w:val="008C1407"/>
    <w:rsid w:val="008C14B6"/>
    <w:rsid w:val="008C14B9"/>
    <w:rsid w:val="008C190A"/>
    <w:rsid w:val="008C19BB"/>
    <w:rsid w:val="008C2057"/>
    <w:rsid w:val="008C221F"/>
    <w:rsid w:val="008C24B0"/>
    <w:rsid w:val="008C251B"/>
    <w:rsid w:val="008C25AE"/>
    <w:rsid w:val="008C28AD"/>
    <w:rsid w:val="008C31E5"/>
    <w:rsid w:val="008C3468"/>
    <w:rsid w:val="008C353C"/>
    <w:rsid w:val="008C3D04"/>
    <w:rsid w:val="008C3D70"/>
    <w:rsid w:val="008C3FFC"/>
    <w:rsid w:val="008C4155"/>
    <w:rsid w:val="008C416C"/>
    <w:rsid w:val="008C424B"/>
    <w:rsid w:val="008C4405"/>
    <w:rsid w:val="008C4627"/>
    <w:rsid w:val="008C463B"/>
    <w:rsid w:val="008C479D"/>
    <w:rsid w:val="008C4859"/>
    <w:rsid w:val="008C4D2C"/>
    <w:rsid w:val="008C4F61"/>
    <w:rsid w:val="008C5E2F"/>
    <w:rsid w:val="008C5EC7"/>
    <w:rsid w:val="008C60EA"/>
    <w:rsid w:val="008C64F6"/>
    <w:rsid w:val="008C6597"/>
    <w:rsid w:val="008C67C0"/>
    <w:rsid w:val="008C71A0"/>
    <w:rsid w:val="008C744A"/>
    <w:rsid w:val="008C7512"/>
    <w:rsid w:val="008C7675"/>
    <w:rsid w:val="008C77A8"/>
    <w:rsid w:val="008C78BB"/>
    <w:rsid w:val="008C7C2B"/>
    <w:rsid w:val="008C7CEC"/>
    <w:rsid w:val="008C7E25"/>
    <w:rsid w:val="008D02F4"/>
    <w:rsid w:val="008D036A"/>
    <w:rsid w:val="008D04CC"/>
    <w:rsid w:val="008D068E"/>
    <w:rsid w:val="008D0A28"/>
    <w:rsid w:val="008D0B30"/>
    <w:rsid w:val="008D0CDB"/>
    <w:rsid w:val="008D0E43"/>
    <w:rsid w:val="008D10D9"/>
    <w:rsid w:val="008D1653"/>
    <w:rsid w:val="008D1659"/>
    <w:rsid w:val="008D1839"/>
    <w:rsid w:val="008D1958"/>
    <w:rsid w:val="008D201E"/>
    <w:rsid w:val="008D21A8"/>
    <w:rsid w:val="008D2415"/>
    <w:rsid w:val="008D2630"/>
    <w:rsid w:val="008D2688"/>
    <w:rsid w:val="008D288B"/>
    <w:rsid w:val="008D29D3"/>
    <w:rsid w:val="008D2CD7"/>
    <w:rsid w:val="008D2DBA"/>
    <w:rsid w:val="008D2E10"/>
    <w:rsid w:val="008D352C"/>
    <w:rsid w:val="008D3664"/>
    <w:rsid w:val="008D385B"/>
    <w:rsid w:val="008D39F4"/>
    <w:rsid w:val="008D3A6C"/>
    <w:rsid w:val="008D3E4E"/>
    <w:rsid w:val="008D3EB8"/>
    <w:rsid w:val="008D4020"/>
    <w:rsid w:val="008D40AE"/>
    <w:rsid w:val="008D44BD"/>
    <w:rsid w:val="008D464D"/>
    <w:rsid w:val="008D4AA5"/>
    <w:rsid w:val="008D4B7B"/>
    <w:rsid w:val="008D506E"/>
    <w:rsid w:val="008D50D7"/>
    <w:rsid w:val="008D5100"/>
    <w:rsid w:val="008D51E8"/>
    <w:rsid w:val="008D56BD"/>
    <w:rsid w:val="008D593F"/>
    <w:rsid w:val="008D5C79"/>
    <w:rsid w:val="008D5FAD"/>
    <w:rsid w:val="008D60C4"/>
    <w:rsid w:val="008D6227"/>
    <w:rsid w:val="008D6BE8"/>
    <w:rsid w:val="008D6F35"/>
    <w:rsid w:val="008D7062"/>
    <w:rsid w:val="008D7069"/>
    <w:rsid w:val="008D70B3"/>
    <w:rsid w:val="008D7483"/>
    <w:rsid w:val="008D74D9"/>
    <w:rsid w:val="008D7973"/>
    <w:rsid w:val="008D7DC5"/>
    <w:rsid w:val="008D7FFD"/>
    <w:rsid w:val="008E01AD"/>
    <w:rsid w:val="008E09EC"/>
    <w:rsid w:val="008E0D50"/>
    <w:rsid w:val="008E0DAB"/>
    <w:rsid w:val="008E0DF7"/>
    <w:rsid w:val="008E0E54"/>
    <w:rsid w:val="008E1686"/>
    <w:rsid w:val="008E1694"/>
    <w:rsid w:val="008E1950"/>
    <w:rsid w:val="008E1D33"/>
    <w:rsid w:val="008E1E1A"/>
    <w:rsid w:val="008E2456"/>
    <w:rsid w:val="008E2A74"/>
    <w:rsid w:val="008E39F9"/>
    <w:rsid w:val="008E3C5D"/>
    <w:rsid w:val="008E3D59"/>
    <w:rsid w:val="008E3E8F"/>
    <w:rsid w:val="008E42B0"/>
    <w:rsid w:val="008E44AB"/>
    <w:rsid w:val="008E465A"/>
    <w:rsid w:val="008E48EF"/>
    <w:rsid w:val="008E5018"/>
    <w:rsid w:val="008E5097"/>
    <w:rsid w:val="008E5129"/>
    <w:rsid w:val="008E556D"/>
    <w:rsid w:val="008E5891"/>
    <w:rsid w:val="008E5AE2"/>
    <w:rsid w:val="008E5B86"/>
    <w:rsid w:val="008E6172"/>
    <w:rsid w:val="008E6299"/>
    <w:rsid w:val="008E6616"/>
    <w:rsid w:val="008E666A"/>
    <w:rsid w:val="008E6773"/>
    <w:rsid w:val="008E6A62"/>
    <w:rsid w:val="008E6BA1"/>
    <w:rsid w:val="008E6BAE"/>
    <w:rsid w:val="008E6F97"/>
    <w:rsid w:val="008E713C"/>
    <w:rsid w:val="008E7264"/>
    <w:rsid w:val="008E746B"/>
    <w:rsid w:val="008E7829"/>
    <w:rsid w:val="008E7DBB"/>
    <w:rsid w:val="008E7E42"/>
    <w:rsid w:val="008E7F11"/>
    <w:rsid w:val="008E7FC4"/>
    <w:rsid w:val="008F0036"/>
    <w:rsid w:val="008F0055"/>
    <w:rsid w:val="008F016E"/>
    <w:rsid w:val="008F02AE"/>
    <w:rsid w:val="008F0592"/>
    <w:rsid w:val="008F064F"/>
    <w:rsid w:val="008F0660"/>
    <w:rsid w:val="008F096E"/>
    <w:rsid w:val="008F0991"/>
    <w:rsid w:val="008F0C60"/>
    <w:rsid w:val="008F0E29"/>
    <w:rsid w:val="008F0F8E"/>
    <w:rsid w:val="008F1318"/>
    <w:rsid w:val="008F1669"/>
    <w:rsid w:val="008F199B"/>
    <w:rsid w:val="008F1B2E"/>
    <w:rsid w:val="008F1C93"/>
    <w:rsid w:val="008F1D01"/>
    <w:rsid w:val="008F1D3F"/>
    <w:rsid w:val="008F1D7E"/>
    <w:rsid w:val="008F1DA2"/>
    <w:rsid w:val="008F25F7"/>
    <w:rsid w:val="008F280B"/>
    <w:rsid w:val="008F283D"/>
    <w:rsid w:val="008F2B77"/>
    <w:rsid w:val="008F2C3A"/>
    <w:rsid w:val="008F2D54"/>
    <w:rsid w:val="008F2F44"/>
    <w:rsid w:val="008F3192"/>
    <w:rsid w:val="008F362A"/>
    <w:rsid w:val="008F36AD"/>
    <w:rsid w:val="008F3A12"/>
    <w:rsid w:val="008F3B8C"/>
    <w:rsid w:val="008F3BBD"/>
    <w:rsid w:val="008F3D30"/>
    <w:rsid w:val="008F3D39"/>
    <w:rsid w:val="008F3FB5"/>
    <w:rsid w:val="008F4591"/>
    <w:rsid w:val="008F4845"/>
    <w:rsid w:val="008F4E11"/>
    <w:rsid w:val="008F5272"/>
    <w:rsid w:val="008F5638"/>
    <w:rsid w:val="008F5766"/>
    <w:rsid w:val="008F57DD"/>
    <w:rsid w:val="008F5A35"/>
    <w:rsid w:val="008F5E3A"/>
    <w:rsid w:val="008F6125"/>
    <w:rsid w:val="008F6228"/>
    <w:rsid w:val="008F6B7F"/>
    <w:rsid w:val="008F6E91"/>
    <w:rsid w:val="008F7082"/>
    <w:rsid w:val="008F7254"/>
    <w:rsid w:val="008F7488"/>
    <w:rsid w:val="008F7870"/>
    <w:rsid w:val="008F78BD"/>
    <w:rsid w:val="008F78F4"/>
    <w:rsid w:val="009000DA"/>
    <w:rsid w:val="00900204"/>
    <w:rsid w:val="00900616"/>
    <w:rsid w:val="009006B6"/>
    <w:rsid w:val="00900764"/>
    <w:rsid w:val="009009A6"/>
    <w:rsid w:val="00901141"/>
    <w:rsid w:val="009011E1"/>
    <w:rsid w:val="009014C8"/>
    <w:rsid w:val="00901583"/>
    <w:rsid w:val="009018AF"/>
    <w:rsid w:val="009018B8"/>
    <w:rsid w:val="009018C8"/>
    <w:rsid w:val="00901A89"/>
    <w:rsid w:val="00901B87"/>
    <w:rsid w:val="00901EBC"/>
    <w:rsid w:val="0090225A"/>
    <w:rsid w:val="00902316"/>
    <w:rsid w:val="00902574"/>
    <w:rsid w:val="00902FE7"/>
    <w:rsid w:val="00903075"/>
    <w:rsid w:val="00903464"/>
    <w:rsid w:val="00903583"/>
    <w:rsid w:val="009045E2"/>
    <w:rsid w:val="00904614"/>
    <w:rsid w:val="0090461F"/>
    <w:rsid w:val="0090480C"/>
    <w:rsid w:val="00905144"/>
    <w:rsid w:val="00905270"/>
    <w:rsid w:val="00905600"/>
    <w:rsid w:val="00905AB5"/>
    <w:rsid w:val="00905EDA"/>
    <w:rsid w:val="00905F6F"/>
    <w:rsid w:val="00906538"/>
    <w:rsid w:val="00906673"/>
    <w:rsid w:val="009068AE"/>
    <w:rsid w:val="00906C42"/>
    <w:rsid w:val="00906DE2"/>
    <w:rsid w:val="00907065"/>
    <w:rsid w:val="0090714F"/>
    <w:rsid w:val="00907BB1"/>
    <w:rsid w:val="00907BD9"/>
    <w:rsid w:val="00907D4C"/>
    <w:rsid w:val="0091007B"/>
    <w:rsid w:val="00910121"/>
    <w:rsid w:val="00910588"/>
    <w:rsid w:val="009107B7"/>
    <w:rsid w:val="00910EC2"/>
    <w:rsid w:val="00911300"/>
    <w:rsid w:val="009114E7"/>
    <w:rsid w:val="009115D0"/>
    <w:rsid w:val="009115E1"/>
    <w:rsid w:val="009116B0"/>
    <w:rsid w:val="00911943"/>
    <w:rsid w:val="00911A5D"/>
    <w:rsid w:val="00911B58"/>
    <w:rsid w:val="00911CD2"/>
    <w:rsid w:val="00911D22"/>
    <w:rsid w:val="009122E2"/>
    <w:rsid w:val="00912734"/>
    <w:rsid w:val="0091288A"/>
    <w:rsid w:val="00912A79"/>
    <w:rsid w:val="00912ED8"/>
    <w:rsid w:val="00912EFA"/>
    <w:rsid w:val="009131E2"/>
    <w:rsid w:val="009133A5"/>
    <w:rsid w:val="009134EB"/>
    <w:rsid w:val="009137F9"/>
    <w:rsid w:val="0091382A"/>
    <w:rsid w:val="00913AFA"/>
    <w:rsid w:val="00913D04"/>
    <w:rsid w:val="00914164"/>
    <w:rsid w:val="009142FC"/>
    <w:rsid w:val="0091445A"/>
    <w:rsid w:val="00914680"/>
    <w:rsid w:val="0091477C"/>
    <w:rsid w:val="009149B6"/>
    <w:rsid w:val="00914A73"/>
    <w:rsid w:val="0091533E"/>
    <w:rsid w:val="009155CF"/>
    <w:rsid w:val="009157C5"/>
    <w:rsid w:val="009158D3"/>
    <w:rsid w:val="0091595A"/>
    <w:rsid w:val="00915A13"/>
    <w:rsid w:val="00915A77"/>
    <w:rsid w:val="00915B8F"/>
    <w:rsid w:val="00915C0D"/>
    <w:rsid w:val="00915CCF"/>
    <w:rsid w:val="00915D77"/>
    <w:rsid w:val="00916094"/>
    <w:rsid w:val="00916530"/>
    <w:rsid w:val="00916757"/>
    <w:rsid w:val="00916F46"/>
    <w:rsid w:val="00917678"/>
    <w:rsid w:val="00917C15"/>
    <w:rsid w:val="00917C8D"/>
    <w:rsid w:val="00917DAC"/>
    <w:rsid w:val="00917F32"/>
    <w:rsid w:val="009200AE"/>
    <w:rsid w:val="009202B4"/>
    <w:rsid w:val="0092097C"/>
    <w:rsid w:val="0092098C"/>
    <w:rsid w:val="00920AC5"/>
    <w:rsid w:val="00920AFC"/>
    <w:rsid w:val="00920B0E"/>
    <w:rsid w:val="00920E01"/>
    <w:rsid w:val="00920ED5"/>
    <w:rsid w:val="00920F67"/>
    <w:rsid w:val="009212F8"/>
    <w:rsid w:val="009213EA"/>
    <w:rsid w:val="00921480"/>
    <w:rsid w:val="0092194E"/>
    <w:rsid w:val="00921A04"/>
    <w:rsid w:val="00921E6B"/>
    <w:rsid w:val="00921ED4"/>
    <w:rsid w:val="00922608"/>
    <w:rsid w:val="009228C3"/>
    <w:rsid w:val="0092293B"/>
    <w:rsid w:val="00922AD9"/>
    <w:rsid w:val="00922D80"/>
    <w:rsid w:val="00922ECF"/>
    <w:rsid w:val="00923301"/>
    <w:rsid w:val="00923589"/>
    <w:rsid w:val="00923863"/>
    <w:rsid w:val="0092396D"/>
    <w:rsid w:val="00923AA4"/>
    <w:rsid w:val="00923B12"/>
    <w:rsid w:val="00923C5C"/>
    <w:rsid w:val="009240D9"/>
    <w:rsid w:val="00924175"/>
    <w:rsid w:val="009243E5"/>
    <w:rsid w:val="00924441"/>
    <w:rsid w:val="0092455D"/>
    <w:rsid w:val="00924750"/>
    <w:rsid w:val="00924948"/>
    <w:rsid w:val="0092494A"/>
    <w:rsid w:val="00924B07"/>
    <w:rsid w:val="00924B1A"/>
    <w:rsid w:val="00924B93"/>
    <w:rsid w:val="00924EF5"/>
    <w:rsid w:val="00924F50"/>
    <w:rsid w:val="009251AE"/>
    <w:rsid w:val="0092536D"/>
    <w:rsid w:val="009253C9"/>
    <w:rsid w:val="00925454"/>
    <w:rsid w:val="00925772"/>
    <w:rsid w:val="00925BF1"/>
    <w:rsid w:val="00925DB3"/>
    <w:rsid w:val="00926316"/>
    <w:rsid w:val="0092653E"/>
    <w:rsid w:val="0092672E"/>
    <w:rsid w:val="0092682E"/>
    <w:rsid w:val="00926951"/>
    <w:rsid w:val="00926C4B"/>
    <w:rsid w:val="00926EF6"/>
    <w:rsid w:val="00926F61"/>
    <w:rsid w:val="00926FF4"/>
    <w:rsid w:val="009272D2"/>
    <w:rsid w:val="00927332"/>
    <w:rsid w:val="0092734E"/>
    <w:rsid w:val="009279F5"/>
    <w:rsid w:val="00927DDF"/>
    <w:rsid w:val="0093001A"/>
    <w:rsid w:val="009300CC"/>
    <w:rsid w:val="0093025D"/>
    <w:rsid w:val="009307C0"/>
    <w:rsid w:val="00930D06"/>
    <w:rsid w:val="00930D9B"/>
    <w:rsid w:val="00930F77"/>
    <w:rsid w:val="0093104B"/>
    <w:rsid w:val="00931211"/>
    <w:rsid w:val="009316F5"/>
    <w:rsid w:val="00931966"/>
    <w:rsid w:val="00931C1E"/>
    <w:rsid w:val="00931D8E"/>
    <w:rsid w:val="009327CB"/>
    <w:rsid w:val="00932A77"/>
    <w:rsid w:val="00932F1B"/>
    <w:rsid w:val="00933010"/>
    <w:rsid w:val="00933081"/>
    <w:rsid w:val="009332E1"/>
    <w:rsid w:val="009344BE"/>
    <w:rsid w:val="00934596"/>
    <w:rsid w:val="00934979"/>
    <w:rsid w:val="00934C26"/>
    <w:rsid w:val="00934D1C"/>
    <w:rsid w:val="00935144"/>
    <w:rsid w:val="00935372"/>
    <w:rsid w:val="0093537F"/>
    <w:rsid w:val="009354D5"/>
    <w:rsid w:val="00935B70"/>
    <w:rsid w:val="00935F5C"/>
    <w:rsid w:val="00935F7A"/>
    <w:rsid w:val="0093668F"/>
    <w:rsid w:val="009367D4"/>
    <w:rsid w:val="00936CAE"/>
    <w:rsid w:val="00936CEF"/>
    <w:rsid w:val="00936D18"/>
    <w:rsid w:val="00936FC4"/>
    <w:rsid w:val="00937091"/>
    <w:rsid w:val="00937277"/>
    <w:rsid w:val="009377CE"/>
    <w:rsid w:val="00937E68"/>
    <w:rsid w:val="00940126"/>
    <w:rsid w:val="009401F5"/>
    <w:rsid w:val="0094072B"/>
    <w:rsid w:val="00940C0A"/>
    <w:rsid w:val="00940FA6"/>
    <w:rsid w:val="00941241"/>
    <w:rsid w:val="00941740"/>
    <w:rsid w:val="00941743"/>
    <w:rsid w:val="00941DD2"/>
    <w:rsid w:val="009426A0"/>
    <w:rsid w:val="00942763"/>
    <w:rsid w:val="0094289A"/>
    <w:rsid w:val="009428CE"/>
    <w:rsid w:val="00942975"/>
    <w:rsid w:val="00942EE8"/>
    <w:rsid w:val="0094326F"/>
    <w:rsid w:val="0094327E"/>
    <w:rsid w:val="009432C3"/>
    <w:rsid w:val="00943400"/>
    <w:rsid w:val="00943CAA"/>
    <w:rsid w:val="00943D5E"/>
    <w:rsid w:val="00943E4D"/>
    <w:rsid w:val="00943FB7"/>
    <w:rsid w:val="009440BB"/>
    <w:rsid w:val="0094438E"/>
    <w:rsid w:val="0094450B"/>
    <w:rsid w:val="0094475A"/>
    <w:rsid w:val="00944897"/>
    <w:rsid w:val="00944A4F"/>
    <w:rsid w:val="00944B66"/>
    <w:rsid w:val="00944DC5"/>
    <w:rsid w:val="00945205"/>
    <w:rsid w:val="0094525E"/>
    <w:rsid w:val="009453E6"/>
    <w:rsid w:val="009454F1"/>
    <w:rsid w:val="009457DB"/>
    <w:rsid w:val="009459F0"/>
    <w:rsid w:val="00945A29"/>
    <w:rsid w:val="00945AC5"/>
    <w:rsid w:val="00945CBF"/>
    <w:rsid w:val="00945CDF"/>
    <w:rsid w:val="00945CF3"/>
    <w:rsid w:val="00945D91"/>
    <w:rsid w:val="00945E37"/>
    <w:rsid w:val="009460A4"/>
    <w:rsid w:val="009462EF"/>
    <w:rsid w:val="00946398"/>
    <w:rsid w:val="00946742"/>
    <w:rsid w:val="00946A68"/>
    <w:rsid w:val="00946E22"/>
    <w:rsid w:val="00946F73"/>
    <w:rsid w:val="00947284"/>
    <w:rsid w:val="009476B8"/>
    <w:rsid w:val="00947763"/>
    <w:rsid w:val="00947986"/>
    <w:rsid w:val="00947AB1"/>
    <w:rsid w:val="00947ADC"/>
    <w:rsid w:val="00947C1E"/>
    <w:rsid w:val="00947E9D"/>
    <w:rsid w:val="0095003E"/>
    <w:rsid w:val="0095003F"/>
    <w:rsid w:val="0095010A"/>
    <w:rsid w:val="00950171"/>
    <w:rsid w:val="00950339"/>
    <w:rsid w:val="00950945"/>
    <w:rsid w:val="00950A2C"/>
    <w:rsid w:val="00950C13"/>
    <w:rsid w:val="00950E29"/>
    <w:rsid w:val="00950ECE"/>
    <w:rsid w:val="00951200"/>
    <w:rsid w:val="009513F4"/>
    <w:rsid w:val="00951577"/>
    <w:rsid w:val="00951C6B"/>
    <w:rsid w:val="00951DB2"/>
    <w:rsid w:val="00951E21"/>
    <w:rsid w:val="00951FC5"/>
    <w:rsid w:val="009520F7"/>
    <w:rsid w:val="0095234D"/>
    <w:rsid w:val="00952912"/>
    <w:rsid w:val="00952ADC"/>
    <w:rsid w:val="00952E66"/>
    <w:rsid w:val="00953044"/>
    <w:rsid w:val="0095329F"/>
    <w:rsid w:val="0095360C"/>
    <w:rsid w:val="00953B30"/>
    <w:rsid w:val="00953BF3"/>
    <w:rsid w:val="00953CBB"/>
    <w:rsid w:val="009542B0"/>
    <w:rsid w:val="00954453"/>
    <w:rsid w:val="00954A83"/>
    <w:rsid w:val="00954E11"/>
    <w:rsid w:val="00954EC5"/>
    <w:rsid w:val="009552CA"/>
    <w:rsid w:val="00955371"/>
    <w:rsid w:val="0095578F"/>
    <w:rsid w:val="00955798"/>
    <w:rsid w:val="00955851"/>
    <w:rsid w:val="00955D30"/>
    <w:rsid w:val="00955EA5"/>
    <w:rsid w:val="0095640A"/>
    <w:rsid w:val="0095657E"/>
    <w:rsid w:val="00956867"/>
    <w:rsid w:val="00956A41"/>
    <w:rsid w:val="00956B4B"/>
    <w:rsid w:val="00956C24"/>
    <w:rsid w:val="00956F0B"/>
    <w:rsid w:val="00957224"/>
    <w:rsid w:val="00957298"/>
    <w:rsid w:val="009572FE"/>
    <w:rsid w:val="00957486"/>
    <w:rsid w:val="00957718"/>
    <w:rsid w:val="00957953"/>
    <w:rsid w:val="00957DA8"/>
    <w:rsid w:val="00957DFB"/>
    <w:rsid w:val="00957E35"/>
    <w:rsid w:val="00957F3F"/>
    <w:rsid w:val="00960147"/>
    <w:rsid w:val="0096015B"/>
    <w:rsid w:val="009602E0"/>
    <w:rsid w:val="00960577"/>
    <w:rsid w:val="00960647"/>
    <w:rsid w:val="00960BD1"/>
    <w:rsid w:val="00960E11"/>
    <w:rsid w:val="0096135E"/>
    <w:rsid w:val="0096137A"/>
    <w:rsid w:val="00961944"/>
    <w:rsid w:val="00961B1B"/>
    <w:rsid w:val="00961DB4"/>
    <w:rsid w:val="00962485"/>
    <w:rsid w:val="00962567"/>
    <w:rsid w:val="0096288B"/>
    <w:rsid w:val="00962958"/>
    <w:rsid w:val="00962D8F"/>
    <w:rsid w:val="00962E1E"/>
    <w:rsid w:val="009631EB"/>
    <w:rsid w:val="0096326F"/>
    <w:rsid w:val="009638FF"/>
    <w:rsid w:val="00963ABF"/>
    <w:rsid w:val="00963B07"/>
    <w:rsid w:val="00963BB4"/>
    <w:rsid w:val="00963C69"/>
    <w:rsid w:val="009641CF"/>
    <w:rsid w:val="009642DF"/>
    <w:rsid w:val="00964850"/>
    <w:rsid w:val="00964889"/>
    <w:rsid w:val="00964C1A"/>
    <w:rsid w:val="00965079"/>
    <w:rsid w:val="0096556C"/>
    <w:rsid w:val="00965847"/>
    <w:rsid w:val="00965B99"/>
    <w:rsid w:val="00965CDE"/>
    <w:rsid w:val="00966CB6"/>
    <w:rsid w:val="00967132"/>
    <w:rsid w:val="009678A0"/>
    <w:rsid w:val="009679C7"/>
    <w:rsid w:val="00967C37"/>
    <w:rsid w:val="009703D7"/>
    <w:rsid w:val="009704F7"/>
    <w:rsid w:val="009706E0"/>
    <w:rsid w:val="00970915"/>
    <w:rsid w:val="00970C73"/>
    <w:rsid w:val="009711F2"/>
    <w:rsid w:val="00971438"/>
    <w:rsid w:val="009716C1"/>
    <w:rsid w:val="00971820"/>
    <w:rsid w:val="00971B02"/>
    <w:rsid w:val="00971BB3"/>
    <w:rsid w:val="00971E27"/>
    <w:rsid w:val="009720D6"/>
    <w:rsid w:val="00972599"/>
    <w:rsid w:val="0097259C"/>
    <w:rsid w:val="009729B6"/>
    <w:rsid w:val="00972A03"/>
    <w:rsid w:val="00972A70"/>
    <w:rsid w:val="00972B73"/>
    <w:rsid w:val="009730C6"/>
    <w:rsid w:val="00973AFC"/>
    <w:rsid w:val="00973E2B"/>
    <w:rsid w:val="00973EA3"/>
    <w:rsid w:val="00973ED7"/>
    <w:rsid w:val="0097424E"/>
    <w:rsid w:val="0097450B"/>
    <w:rsid w:val="00974823"/>
    <w:rsid w:val="00974891"/>
    <w:rsid w:val="00974CB7"/>
    <w:rsid w:val="00974CCD"/>
    <w:rsid w:val="00975067"/>
    <w:rsid w:val="009750B3"/>
    <w:rsid w:val="0097562E"/>
    <w:rsid w:val="009759BB"/>
    <w:rsid w:val="00975AF5"/>
    <w:rsid w:val="00975EFB"/>
    <w:rsid w:val="00975F49"/>
    <w:rsid w:val="00976022"/>
    <w:rsid w:val="00976211"/>
    <w:rsid w:val="0097628E"/>
    <w:rsid w:val="009766F4"/>
    <w:rsid w:val="00976B1D"/>
    <w:rsid w:val="00976C9D"/>
    <w:rsid w:val="00976DC5"/>
    <w:rsid w:val="009772DA"/>
    <w:rsid w:val="00977624"/>
    <w:rsid w:val="009777F7"/>
    <w:rsid w:val="0097797A"/>
    <w:rsid w:val="00977CBB"/>
    <w:rsid w:val="00980043"/>
    <w:rsid w:val="009802D7"/>
    <w:rsid w:val="00980330"/>
    <w:rsid w:val="00980529"/>
    <w:rsid w:val="00980CD0"/>
    <w:rsid w:val="00981080"/>
    <w:rsid w:val="00981157"/>
    <w:rsid w:val="00981378"/>
    <w:rsid w:val="0098184B"/>
    <w:rsid w:val="00981AEB"/>
    <w:rsid w:val="00981D44"/>
    <w:rsid w:val="00982187"/>
    <w:rsid w:val="00982357"/>
    <w:rsid w:val="0098248C"/>
    <w:rsid w:val="00982C79"/>
    <w:rsid w:val="00983190"/>
    <w:rsid w:val="00983203"/>
    <w:rsid w:val="009839C7"/>
    <w:rsid w:val="00983AD4"/>
    <w:rsid w:val="009843D2"/>
    <w:rsid w:val="009846FA"/>
    <w:rsid w:val="00984760"/>
    <w:rsid w:val="009847BB"/>
    <w:rsid w:val="00984A94"/>
    <w:rsid w:val="00984BFB"/>
    <w:rsid w:val="00984DBF"/>
    <w:rsid w:val="00984DCC"/>
    <w:rsid w:val="0098511F"/>
    <w:rsid w:val="009852C3"/>
    <w:rsid w:val="0098548B"/>
    <w:rsid w:val="00985567"/>
    <w:rsid w:val="0098556D"/>
    <w:rsid w:val="009855EF"/>
    <w:rsid w:val="009856D3"/>
    <w:rsid w:val="00985B3D"/>
    <w:rsid w:val="00985D61"/>
    <w:rsid w:val="00985DCF"/>
    <w:rsid w:val="00986046"/>
    <w:rsid w:val="0098642A"/>
    <w:rsid w:val="00986521"/>
    <w:rsid w:val="0098678B"/>
    <w:rsid w:val="0098678F"/>
    <w:rsid w:val="009867D2"/>
    <w:rsid w:val="00986CBE"/>
    <w:rsid w:val="00986D67"/>
    <w:rsid w:val="009874D7"/>
    <w:rsid w:val="009875F0"/>
    <w:rsid w:val="009877D0"/>
    <w:rsid w:val="00987AD5"/>
    <w:rsid w:val="00987B43"/>
    <w:rsid w:val="00987EC3"/>
    <w:rsid w:val="009901FD"/>
    <w:rsid w:val="009909FB"/>
    <w:rsid w:val="00990C01"/>
    <w:rsid w:val="00990F48"/>
    <w:rsid w:val="0099117C"/>
    <w:rsid w:val="0099125F"/>
    <w:rsid w:val="0099150A"/>
    <w:rsid w:val="0099189E"/>
    <w:rsid w:val="00991D23"/>
    <w:rsid w:val="009921CF"/>
    <w:rsid w:val="00992260"/>
    <w:rsid w:val="0099233F"/>
    <w:rsid w:val="0099252E"/>
    <w:rsid w:val="00992642"/>
    <w:rsid w:val="00992735"/>
    <w:rsid w:val="00992D51"/>
    <w:rsid w:val="00993590"/>
    <w:rsid w:val="009935F9"/>
    <w:rsid w:val="00993638"/>
    <w:rsid w:val="009939DC"/>
    <w:rsid w:val="00993D62"/>
    <w:rsid w:val="00993E24"/>
    <w:rsid w:val="00993F9B"/>
    <w:rsid w:val="00994840"/>
    <w:rsid w:val="009948A3"/>
    <w:rsid w:val="00994BB2"/>
    <w:rsid w:val="009951A3"/>
    <w:rsid w:val="00995596"/>
    <w:rsid w:val="00995B71"/>
    <w:rsid w:val="00995D93"/>
    <w:rsid w:val="00995E33"/>
    <w:rsid w:val="00995EA8"/>
    <w:rsid w:val="00996326"/>
    <w:rsid w:val="00996464"/>
    <w:rsid w:val="009964D7"/>
    <w:rsid w:val="0099664C"/>
    <w:rsid w:val="009967E4"/>
    <w:rsid w:val="009967FC"/>
    <w:rsid w:val="00996A20"/>
    <w:rsid w:val="00996A45"/>
    <w:rsid w:val="00996C60"/>
    <w:rsid w:val="00996D49"/>
    <w:rsid w:val="00996D63"/>
    <w:rsid w:val="00996D69"/>
    <w:rsid w:val="00996D9D"/>
    <w:rsid w:val="009972EE"/>
    <w:rsid w:val="00997499"/>
    <w:rsid w:val="0099756B"/>
    <w:rsid w:val="009975FF"/>
    <w:rsid w:val="00997600"/>
    <w:rsid w:val="00997849"/>
    <w:rsid w:val="0099795A"/>
    <w:rsid w:val="00997A97"/>
    <w:rsid w:val="00997E17"/>
    <w:rsid w:val="009A00C1"/>
    <w:rsid w:val="009A05AC"/>
    <w:rsid w:val="009A086A"/>
    <w:rsid w:val="009A0A86"/>
    <w:rsid w:val="009A0AC8"/>
    <w:rsid w:val="009A0B06"/>
    <w:rsid w:val="009A0B3C"/>
    <w:rsid w:val="009A0BD5"/>
    <w:rsid w:val="009A0C95"/>
    <w:rsid w:val="009A0F8E"/>
    <w:rsid w:val="009A100D"/>
    <w:rsid w:val="009A1019"/>
    <w:rsid w:val="009A12AD"/>
    <w:rsid w:val="009A12E3"/>
    <w:rsid w:val="009A15E6"/>
    <w:rsid w:val="009A1843"/>
    <w:rsid w:val="009A19B5"/>
    <w:rsid w:val="009A1DAE"/>
    <w:rsid w:val="009A225B"/>
    <w:rsid w:val="009A2374"/>
    <w:rsid w:val="009A23DF"/>
    <w:rsid w:val="009A2C11"/>
    <w:rsid w:val="009A2C5F"/>
    <w:rsid w:val="009A3361"/>
    <w:rsid w:val="009A3390"/>
    <w:rsid w:val="009A3581"/>
    <w:rsid w:val="009A3814"/>
    <w:rsid w:val="009A38B9"/>
    <w:rsid w:val="009A3B63"/>
    <w:rsid w:val="009A4418"/>
    <w:rsid w:val="009A472F"/>
    <w:rsid w:val="009A4A1B"/>
    <w:rsid w:val="009A4DF1"/>
    <w:rsid w:val="009A4FC9"/>
    <w:rsid w:val="009A5080"/>
    <w:rsid w:val="009A51FA"/>
    <w:rsid w:val="009A545D"/>
    <w:rsid w:val="009A57AE"/>
    <w:rsid w:val="009A5931"/>
    <w:rsid w:val="009A5C32"/>
    <w:rsid w:val="009A627B"/>
    <w:rsid w:val="009A683F"/>
    <w:rsid w:val="009A685D"/>
    <w:rsid w:val="009A6EA6"/>
    <w:rsid w:val="009A6EC9"/>
    <w:rsid w:val="009A6F5E"/>
    <w:rsid w:val="009A6F79"/>
    <w:rsid w:val="009A7058"/>
    <w:rsid w:val="009A7080"/>
    <w:rsid w:val="009A70C0"/>
    <w:rsid w:val="009A71CC"/>
    <w:rsid w:val="009A7B7B"/>
    <w:rsid w:val="009B044C"/>
    <w:rsid w:val="009B059F"/>
    <w:rsid w:val="009B06DF"/>
    <w:rsid w:val="009B0E1B"/>
    <w:rsid w:val="009B0F0B"/>
    <w:rsid w:val="009B11CB"/>
    <w:rsid w:val="009B1413"/>
    <w:rsid w:val="009B17FA"/>
    <w:rsid w:val="009B1979"/>
    <w:rsid w:val="009B1984"/>
    <w:rsid w:val="009B19B4"/>
    <w:rsid w:val="009B1B68"/>
    <w:rsid w:val="009B21C1"/>
    <w:rsid w:val="009B22E2"/>
    <w:rsid w:val="009B2440"/>
    <w:rsid w:val="009B2FAB"/>
    <w:rsid w:val="009B2FD8"/>
    <w:rsid w:val="009B31D5"/>
    <w:rsid w:val="009B31D6"/>
    <w:rsid w:val="009B3565"/>
    <w:rsid w:val="009B356A"/>
    <w:rsid w:val="009B35DF"/>
    <w:rsid w:val="009B39D0"/>
    <w:rsid w:val="009B3A83"/>
    <w:rsid w:val="009B3C35"/>
    <w:rsid w:val="009B3F98"/>
    <w:rsid w:val="009B43C0"/>
    <w:rsid w:val="009B45BD"/>
    <w:rsid w:val="009B4643"/>
    <w:rsid w:val="009B486E"/>
    <w:rsid w:val="009B4A60"/>
    <w:rsid w:val="009B4EC7"/>
    <w:rsid w:val="009B5090"/>
    <w:rsid w:val="009B51E4"/>
    <w:rsid w:val="009B53C6"/>
    <w:rsid w:val="009B592B"/>
    <w:rsid w:val="009B59D9"/>
    <w:rsid w:val="009B5B0B"/>
    <w:rsid w:val="009B5CD6"/>
    <w:rsid w:val="009B5ED2"/>
    <w:rsid w:val="009B6036"/>
    <w:rsid w:val="009B6103"/>
    <w:rsid w:val="009B623A"/>
    <w:rsid w:val="009B625D"/>
    <w:rsid w:val="009B62B1"/>
    <w:rsid w:val="009B7095"/>
    <w:rsid w:val="009B72AF"/>
    <w:rsid w:val="009B7633"/>
    <w:rsid w:val="009B7710"/>
    <w:rsid w:val="009B7B82"/>
    <w:rsid w:val="009C0053"/>
    <w:rsid w:val="009C01C6"/>
    <w:rsid w:val="009C0206"/>
    <w:rsid w:val="009C049B"/>
    <w:rsid w:val="009C05C1"/>
    <w:rsid w:val="009C065B"/>
    <w:rsid w:val="009C07D0"/>
    <w:rsid w:val="009C0A10"/>
    <w:rsid w:val="009C0D2D"/>
    <w:rsid w:val="009C10A1"/>
    <w:rsid w:val="009C1257"/>
    <w:rsid w:val="009C12DC"/>
    <w:rsid w:val="009C165F"/>
    <w:rsid w:val="009C1BE9"/>
    <w:rsid w:val="009C1D33"/>
    <w:rsid w:val="009C229F"/>
    <w:rsid w:val="009C2BC2"/>
    <w:rsid w:val="009C2F88"/>
    <w:rsid w:val="009C36BE"/>
    <w:rsid w:val="009C3A63"/>
    <w:rsid w:val="009C3B1D"/>
    <w:rsid w:val="009C3DFE"/>
    <w:rsid w:val="009C3E47"/>
    <w:rsid w:val="009C3EC3"/>
    <w:rsid w:val="009C424E"/>
    <w:rsid w:val="009C42B2"/>
    <w:rsid w:val="009C496E"/>
    <w:rsid w:val="009C49E6"/>
    <w:rsid w:val="009C4A5C"/>
    <w:rsid w:val="009C5031"/>
    <w:rsid w:val="009C503E"/>
    <w:rsid w:val="009C5361"/>
    <w:rsid w:val="009C53B1"/>
    <w:rsid w:val="009C5594"/>
    <w:rsid w:val="009C564D"/>
    <w:rsid w:val="009C57D3"/>
    <w:rsid w:val="009C5B2B"/>
    <w:rsid w:val="009C5CBA"/>
    <w:rsid w:val="009C5D3F"/>
    <w:rsid w:val="009C5D6E"/>
    <w:rsid w:val="009C5EC0"/>
    <w:rsid w:val="009C5FE4"/>
    <w:rsid w:val="009C614D"/>
    <w:rsid w:val="009C614F"/>
    <w:rsid w:val="009C6504"/>
    <w:rsid w:val="009C6735"/>
    <w:rsid w:val="009C6A27"/>
    <w:rsid w:val="009C6B69"/>
    <w:rsid w:val="009C7018"/>
    <w:rsid w:val="009C7116"/>
    <w:rsid w:val="009C71CE"/>
    <w:rsid w:val="009C724A"/>
    <w:rsid w:val="009C744E"/>
    <w:rsid w:val="009C7A44"/>
    <w:rsid w:val="009C7DFB"/>
    <w:rsid w:val="009C7EE7"/>
    <w:rsid w:val="009D00F7"/>
    <w:rsid w:val="009D09B6"/>
    <w:rsid w:val="009D0CC2"/>
    <w:rsid w:val="009D0CD2"/>
    <w:rsid w:val="009D0F37"/>
    <w:rsid w:val="009D0F7F"/>
    <w:rsid w:val="009D1009"/>
    <w:rsid w:val="009D10ED"/>
    <w:rsid w:val="009D113E"/>
    <w:rsid w:val="009D11B8"/>
    <w:rsid w:val="009D11E2"/>
    <w:rsid w:val="009D15E2"/>
    <w:rsid w:val="009D174F"/>
    <w:rsid w:val="009D195B"/>
    <w:rsid w:val="009D1ED4"/>
    <w:rsid w:val="009D22C0"/>
    <w:rsid w:val="009D2A66"/>
    <w:rsid w:val="009D2B46"/>
    <w:rsid w:val="009D2D61"/>
    <w:rsid w:val="009D2DA2"/>
    <w:rsid w:val="009D2E4A"/>
    <w:rsid w:val="009D2F05"/>
    <w:rsid w:val="009D35BF"/>
    <w:rsid w:val="009D3B70"/>
    <w:rsid w:val="009D3B7D"/>
    <w:rsid w:val="009D3BB4"/>
    <w:rsid w:val="009D3C02"/>
    <w:rsid w:val="009D3CE6"/>
    <w:rsid w:val="009D3DC7"/>
    <w:rsid w:val="009D4028"/>
    <w:rsid w:val="009D4144"/>
    <w:rsid w:val="009D4186"/>
    <w:rsid w:val="009D4271"/>
    <w:rsid w:val="009D444E"/>
    <w:rsid w:val="009D45A5"/>
    <w:rsid w:val="009D46DD"/>
    <w:rsid w:val="009D471A"/>
    <w:rsid w:val="009D4A96"/>
    <w:rsid w:val="009D4B5C"/>
    <w:rsid w:val="009D4BF3"/>
    <w:rsid w:val="009D5A66"/>
    <w:rsid w:val="009D5FFD"/>
    <w:rsid w:val="009D6491"/>
    <w:rsid w:val="009D649B"/>
    <w:rsid w:val="009D6537"/>
    <w:rsid w:val="009D65B7"/>
    <w:rsid w:val="009D6673"/>
    <w:rsid w:val="009D676E"/>
    <w:rsid w:val="009D69A1"/>
    <w:rsid w:val="009D6B29"/>
    <w:rsid w:val="009D7096"/>
    <w:rsid w:val="009D7383"/>
    <w:rsid w:val="009D74C8"/>
    <w:rsid w:val="009D74FE"/>
    <w:rsid w:val="009D761B"/>
    <w:rsid w:val="009D77EF"/>
    <w:rsid w:val="009D780C"/>
    <w:rsid w:val="009D7978"/>
    <w:rsid w:val="009D7A23"/>
    <w:rsid w:val="009D7ADB"/>
    <w:rsid w:val="009E0112"/>
    <w:rsid w:val="009E0531"/>
    <w:rsid w:val="009E0537"/>
    <w:rsid w:val="009E06B5"/>
    <w:rsid w:val="009E08AB"/>
    <w:rsid w:val="009E100D"/>
    <w:rsid w:val="009E105D"/>
    <w:rsid w:val="009E11DD"/>
    <w:rsid w:val="009E14D3"/>
    <w:rsid w:val="009E1565"/>
    <w:rsid w:val="009E1905"/>
    <w:rsid w:val="009E1F12"/>
    <w:rsid w:val="009E2071"/>
    <w:rsid w:val="009E2129"/>
    <w:rsid w:val="009E23AA"/>
    <w:rsid w:val="009E2853"/>
    <w:rsid w:val="009E29F3"/>
    <w:rsid w:val="009E307F"/>
    <w:rsid w:val="009E337C"/>
    <w:rsid w:val="009E33D5"/>
    <w:rsid w:val="009E3A59"/>
    <w:rsid w:val="009E3B13"/>
    <w:rsid w:val="009E3C2C"/>
    <w:rsid w:val="009E3C44"/>
    <w:rsid w:val="009E435D"/>
    <w:rsid w:val="009E490F"/>
    <w:rsid w:val="009E49ED"/>
    <w:rsid w:val="009E4B89"/>
    <w:rsid w:val="009E57BC"/>
    <w:rsid w:val="009E58CB"/>
    <w:rsid w:val="009E594F"/>
    <w:rsid w:val="009E59CF"/>
    <w:rsid w:val="009E5A4B"/>
    <w:rsid w:val="009E61E5"/>
    <w:rsid w:val="009E63D7"/>
    <w:rsid w:val="009E646C"/>
    <w:rsid w:val="009E6874"/>
    <w:rsid w:val="009E687E"/>
    <w:rsid w:val="009E6A03"/>
    <w:rsid w:val="009E6A52"/>
    <w:rsid w:val="009E6AE7"/>
    <w:rsid w:val="009E7146"/>
    <w:rsid w:val="009E73F8"/>
    <w:rsid w:val="009E7453"/>
    <w:rsid w:val="009E75D9"/>
    <w:rsid w:val="009E7688"/>
    <w:rsid w:val="009F0038"/>
    <w:rsid w:val="009F0506"/>
    <w:rsid w:val="009F0569"/>
    <w:rsid w:val="009F07D6"/>
    <w:rsid w:val="009F0B66"/>
    <w:rsid w:val="009F0BEF"/>
    <w:rsid w:val="009F0BF9"/>
    <w:rsid w:val="009F0C93"/>
    <w:rsid w:val="009F102F"/>
    <w:rsid w:val="009F15C4"/>
    <w:rsid w:val="009F1AAE"/>
    <w:rsid w:val="009F1BAE"/>
    <w:rsid w:val="009F1CB4"/>
    <w:rsid w:val="009F1D31"/>
    <w:rsid w:val="009F1DD9"/>
    <w:rsid w:val="009F204E"/>
    <w:rsid w:val="009F2202"/>
    <w:rsid w:val="009F254E"/>
    <w:rsid w:val="009F2660"/>
    <w:rsid w:val="009F28ED"/>
    <w:rsid w:val="009F299B"/>
    <w:rsid w:val="009F2B02"/>
    <w:rsid w:val="009F2C23"/>
    <w:rsid w:val="009F2DF2"/>
    <w:rsid w:val="009F30D3"/>
    <w:rsid w:val="009F363D"/>
    <w:rsid w:val="009F364F"/>
    <w:rsid w:val="009F3748"/>
    <w:rsid w:val="009F3804"/>
    <w:rsid w:val="009F3919"/>
    <w:rsid w:val="009F3A97"/>
    <w:rsid w:val="009F3F7F"/>
    <w:rsid w:val="009F4110"/>
    <w:rsid w:val="009F41F2"/>
    <w:rsid w:val="009F41FC"/>
    <w:rsid w:val="009F4329"/>
    <w:rsid w:val="009F46EF"/>
    <w:rsid w:val="009F47A3"/>
    <w:rsid w:val="009F48CB"/>
    <w:rsid w:val="009F4A8F"/>
    <w:rsid w:val="009F4D08"/>
    <w:rsid w:val="009F4D25"/>
    <w:rsid w:val="009F4F36"/>
    <w:rsid w:val="009F4F8D"/>
    <w:rsid w:val="009F5488"/>
    <w:rsid w:val="009F5AE4"/>
    <w:rsid w:val="009F5B70"/>
    <w:rsid w:val="009F60D5"/>
    <w:rsid w:val="009F61E2"/>
    <w:rsid w:val="009F6440"/>
    <w:rsid w:val="009F6B3A"/>
    <w:rsid w:val="009F6BE0"/>
    <w:rsid w:val="009F7556"/>
    <w:rsid w:val="009F773D"/>
    <w:rsid w:val="009F77EA"/>
    <w:rsid w:val="009F7863"/>
    <w:rsid w:val="009F78A3"/>
    <w:rsid w:val="009F7A66"/>
    <w:rsid w:val="009F7A96"/>
    <w:rsid w:val="009F7D58"/>
    <w:rsid w:val="00A00240"/>
    <w:rsid w:val="00A002C7"/>
    <w:rsid w:val="00A00523"/>
    <w:rsid w:val="00A0058A"/>
    <w:rsid w:val="00A009B9"/>
    <w:rsid w:val="00A00A9A"/>
    <w:rsid w:val="00A00B8F"/>
    <w:rsid w:val="00A01376"/>
    <w:rsid w:val="00A013A2"/>
    <w:rsid w:val="00A01616"/>
    <w:rsid w:val="00A0169F"/>
    <w:rsid w:val="00A01A28"/>
    <w:rsid w:val="00A01ADE"/>
    <w:rsid w:val="00A01BB9"/>
    <w:rsid w:val="00A01D2E"/>
    <w:rsid w:val="00A01F3D"/>
    <w:rsid w:val="00A02548"/>
    <w:rsid w:val="00A0274E"/>
    <w:rsid w:val="00A02755"/>
    <w:rsid w:val="00A0281D"/>
    <w:rsid w:val="00A02D6B"/>
    <w:rsid w:val="00A0329A"/>
    <w:rsid w:val="00A03576"/>
    <w:rsid w:val="00A037BC"/>
    <w:rsid w:val="00A03D3F"/>
    <w:rsid w:val="00A03FEB"/>
    <w:rsid w:val="00A040BF"/>
    <w:rsid w:val="00A04405"/>
    <w:rsid w:val="00A048AF"/>
    <w:rsid w:val="00A049D4"/>
    <w:rsid w:val="00A04A13"/>
    <w:rsid w:val="00A04AA0"/>
    <w:rsid w:val="00A04D65"/>
    <w:rsid w:val="00A04E15"/>
    <w:rsid w:val="00A04E7C"/>
    <w:rsid w:val="00A054BC"/>
    <w:rsid w:val="00A057D8"/>
    <w:rsid w:val="00A0580F"/>
    <w:rsid w:val="00A0583B"/>
    <w:rsid w:val="00A058FC"/>
    <w:rsid w:val="00A0594E"/>
    <w:rsid w:val="00A05C7B"/>
    <w:rsid w:val="00A05F43"/>
    <w:rsid w:val="00A05F8D"/>
    <w:rsid w:val="00A062EC"/>
    <w:rsid w:val="00A06407"/>
    <w:rsid w:val="00A068B7"/>
    <w:rsid w:val="00A06C53"/>
    <w:rsid w:val="00A06CAA"/>
    <w:rsid w:val="00A07391"/>
    <w:rsid w:val="00A0776F"/>
    <w:rsid w:val="00A077C1"/>
    <w:rsid w:val="00A07839"/>
    <w:rsid w:val="00A07A7A"/>
    <w:rsid w:val="00A07B9E"/>
    <w:rsid w:val="00A101CA"/>
    <w:rsid w:val="00A10231"/>
    <w:rsid w:val="00A10415"/>
    <w:rsid w:val="00A105C9"/>
    <w:rsid w:val="00A107EB"/>
    <w:rsid w:val="00A10859"/>
    <w:rsid w:val="00A1088C"/>
    <w:rsid w:val="00A108C2"/>
    <w:rsid w:val="00A1090B"/>
    <w:rsid w:val="00A109CA"/>
    <w:rsid w:val="00A10B77"/>
    <w:rsid w:val="00A10C49"/>
    <w:rsid w:val="00A10D74"/>
    <w:rsid w:val="00A11017"/>
    <w:rsid w:val="00A113CB"/>
    <w:rsid w:val="00A1143C"/>
    <w:rsid w:val="00A11516"/>
    <w:rsid w:val="00A1151D"/>
    <w:rsid w:val="00A11572"/>
    <w:rsid w:val="00A115AF"/>
    <w:rsid w:val="00A1167E"/>
    <w:rsid w:val="00A1183E"/>
    <w:rsid w:val="00A11C15"/>
    <w:rsid w:val="00A11CAC"/>
    <w:rsid w:val="00A11DDC"/>
    <w:rsid w:val="00A12198"/>
    <w:rsid w:val="00A1229E"/>
    <w:rsid w:val="00A123C2"/>
    <w:rsid w:val="00A123D1"/>
    <w:rsid w:val="00A12F45"/>
    <w:rsid w:val="00A1309F"/>
    <w:rsid w:val="00A130D3"/>
    <w:rsid w:val="00A13168"/>
    <w:rsid w:val="00A133CC"/>
    <w:rsid w:val="00A133D4"/>
    <w:rsid w:val="00A136BE"/>
    <w:rsid w:val="00A137E0"/>
    <w:rsid w:val="00A13891"/>
    <w:rsid w:val="00A13DE2"/>
    <w:rsid w:val="00A140EF"/>
    <w:rsid w:val="00A14219"/>
    <w:rsid w:val="00A145E0"/>
    <w:rsid w:val="00A14633"/>
    <w:rsid w:val="00A1472A"/>
    <w:rsid w:val="00A14830"/>
    <w:rsid w:val="00A14AF9"/>
    <w:rsid w:val="00A14BA0"/>
    <w:rsid w:val="00A151E9"/>
    <w:rsid w:val="00A152AB"/>
    <w:rsid w:val="00A15576"/>
    <w:rsid w:val="00A1582E"/>
    <w:rsid w:val="00A15886"/>
    <w:rsid w:val="00A15A60"/>
    <w:rsid w:val="00A15FA4"/>
    <w:rsid w:val="00A15FF4"/>
    <w:rsid w:val="00A1660A"/>
    <w:rsid w:val="00A168B2"/>
    <w:rsid w:val="00A16940"/>
    <w:rsid w:val="00A16BD0"/>
    <w:rsid w:val="00A16E5D"/>
    <w:rsid w:val="00A1708E"/>
    <w:rsid w:val="00A17153"/>
    <w:rsid w:val="00A171FF"/>
    <w:rsid w:val="00A178B8"/>
    <w:rsid w:val="00A178E6"/>
    <w:rsid w:val="00A17966"/>
    <w:rsid w:val="00A17B0A"/>
    <w:rsid w:val="00A17BB2"/>
    <w:rsid w:val="00A17D20"/>
    <w:rsid w:val="00A17FD2"/>
    <w:rsid w:val="00A2009F"/>
    <w:rsid w:val="00A202CF"/>
    <w:rsid w:val="00A20696"/>
    <w:rsid w:val="00A20715"/>
    <w:rsid w:val="00A20A99"/>
    <w:rsid w:val="00A20D91"/>
    <w:rsid w:val="00A20DE1"/>
    <w:rsid w:val="00A211C3"/>
    <w:rsid w:val="00A2179D"/>
    <w:rsid w:val="00A21D04"/>
    <w:rsid w:val="00A21D2F"/>
    <w:rsid w:val="00A21DEF"/>
    <w:rsid w:val="00A21E47"/>
    <w:rsid w:val="00A221F4"/>
    <w:rsid w:val="00A22202"/>
    <w:rsid w:val="00A226A2"/>
    <w:rsid w:val="00A229FA"/>
    <w:rsid w:val="00A22C31"/>
    <w:rsid w:val="00A22EF8"/>
    <w:rsid w:val="00A2324A"/>
    <w:rsid w:val="00A23573"/>
    <w:rsid w:val="00A236D6"/>
    <w:rsid w:val="00A23822"/>
    <w:rsid w:val="00A238A4"/>
    <w:rsid w:val="00A23B7E"/>
    <w:rsid w:val="00A23B8A"/>
    <w:rsid w:val="00A23BF6"/>
    <w:rsid w:val="00A23CB1"/>
    <w:rsid w:val="00A23D33"/>
    <w:rsid w:val="00A24395"/>
    <w:rsid w:val="00A2491C"/>
    <w:rsid w:val="00A24C31"/>
    <w:rsid w:val="00A24E53"/>
    <w:rsid w:val="00A250D0"/>
    <w:rsid w:val="00A251E0"/>
    <w:rsid w:val="00A25216"/>
    <w:rsid w:val="00A252A9"/>
    <w:rsid w:val="00A255EA"/>
    <w:rsid w:val="00A258EB"/>
    <w:rsid w:val="00A25B61"/>
    <w:rsid w:val="00A25B62"/>
    <w:rsid w:val="00A25E4F"/>
    <w:rsid w:val="00A26B0C"/>
    <w:rsid w:val="00A2771B"/>
    <w:rsid w:val="00A278AB"/>
    <w:rsid w:val="00A279F6"/>
    <w:rsid w:val="00A27AA4"/>
    <w:rsid w:val="00A27B4F"/>
    <w:rsid w:val="00A27C60"/>
    <w:rsid w:val="00A27D00"/>
    <w:rsid w:val="00A31279"/>
    <w:rsid w:val="00A312A0"/>
    <w:rsid w:val="00A315EF"/>
    <w:rsid w:val="00A31B32"/>
    <w:rsid w:val="00A31B70"/>
    <w:rsid w:val="00A31CCB"/>
    <w:rsid w:val="00A31CD1"/>
    <w:rsid w:val="00A3225F"/>
    <w:rsid w:val="00A323D0"/>
    <w:rsid w:val="00A325AA"/>
    <w:rsid w:val="00A32746"/>
    <w:rsid w:val="00A3285D"/>
    <w:rsid w:val="00A32A6D"/>
    <w:rsid w:val="00A32BD9"/>
    <w:rsid w:val="00A32DFA"/>
    <w:rsid w:val="00A33058"/>
    <w:rsid w:val="00A332CA"/>
    <w:rsid w:val="00A33C61"/>
    <w:rsid w:val="00A33E68"/>
    <w:rsid w:val="00A33F4D"/>
    <w:rsid w:val="00A3424F"/>
    <w:rsid w:val="00A34494"/>
    <w:rsid w:val="00A3478B"/>
    <w:rsid w:val="00A349EC"/>
    <w:rsid w:val="00A34F48"/>
    <w:rsid w:val="00A355BA"/>
    <w:rsid w:val="00A35F0A"/>
    <w:rsid w:val="00A36380"/>
    <w:rsid w:val="00A36790"/>
    <w:rsid w:val="00A36D2F"/>
    <w:rsid w:val="00A36FE3"/>
    <w:rsid w:val="00A36FE8"/>
    <w:rsid w:val="00A37085"/>
    <w:rsid w:val="00A37164"/>
    <w:rsid w:val="00A3723B"/>
    <w:rsid w:val="00A37913"/>
    <w:rsid w:val="00A37C01"/>
    <w:rsid w:val="00A37CBC"/>
    <w:rsid w:val="00A37D24"/>
    <w:rsid w:val="00A402E2"/>
    <w:rsid w:val="00A4041C"/>
    <w:rsid w:val="00A40494"/>
    <w:rsid w:val="00A40541"/>
    <w:rsid w:val="00A40660"/>
    <w:rsid w:val="00A406C5"/>
    <w:rsid w:val="00A408B7"/>
    <w:rsid w:val="00A409B0"/>
    <w:rsid w:val="00A40A00"/>
    <w:rsid w:val="00A40B75"/>
    <w:rsid w:val="00A410BD"/>
    <w:rsid w:val="00A4145F"/>
    <w:rsid w:val="00A41669"/>
    <w:rsid w:val="00A41C44"/>
    <w:rsid w:val="00A41D38"/>
    <w:rsid w:val="00A41F5F"/>
    <w:rsid w:val="00A41FF6"/>
    <w:rsid w:val="00A42024"/>
    <w:rsid w:val="00A4213B"/>
    <w:rsid w:val="00A42277"/>
    <w:rsid w:val="00A42371"/>
    <w:rsid w:val="00A429E1"/>
    <w:rsid w:val="00A42A2F"/>
    <w:rsid w:val="00A42CAA"/>
    <w:rsid w:val="00A43063"/>
    <w:rsid w:val="00A430C8"/>
    <w:rsid w:val="00A4335F"/>
    <w:rsid w:val="00A43573"/>
    <w:rsid w:val="00A4373F"/>
    <w:rsid w:val="00A43789"/>
    <w:rsid w:val="00A4390A"/>
    <w:rsid w:val="00A439DB"/>
    <w:rsid w:val="00A43B4B"/>
    <w:rsid w:val="00A43DCB"/>
    <w:rsid w:val="00A43ECF"/>
    <w:rsid w:val="00A43FA7"/>
    <w:rsid w:val="00A4429F"/>
    <w:rsid w:val="00A44381"/>
    <w:rsid w:val="00A444BE"/>
    <w:rsid w:val="00A444D4"/>
    <w:rsid w:val="00A4453F"/>
    <w:rsid w:val="00A4497D"/>
    <w:rsid w:val="00A4535A"/>
    <w:rsid w:val="00A45518"/>
    <w:rsid w:val="00A45954"/>
    <w:rsid w:val="00A45A78"/>
    <w:rsid w:val="00A45C4F"/>
    <w:rsid w:val="00A45D28"/>
    <w:rsid w:val="00A45DF4"/>
    <w:rsid w:val="00A46159"/>
    <w:rsid w:val="00A46D0B"/>
    <w:rsid w:val="00A46D84"/>
    <w:rsid w:val="00A46E83"/>
    <w:rsid w:val="00A47825"/>
    <w:rsid w:val="00A478A6"/>
    <w:rsid w:val="00A47A25"/>
    <w:rsid w:val="00A47AA9"/>
    <w:rsid w:val="00A47CF3"/>
    <w:rsid w:val="00A47EAF"/>
    <w:rsid w:val="00A50101"/>
    <w:rsid w:val="00A50386"/>
    <w:rsid w:val="00A5038B"/>
    <w:rsid w:val="00A503A5"/>
    <w:rsid w:val="00A504D4"/>
    <w:rsid w:val="00A50586"/>
    <w:rsid w:val="00A509EB"/>
    <w:rsid w:val="00A50E0B"/>
    <w:rsid w:val="00A50F24"/>
    <w:rsid w:val="00A511C3"/>
    <w:rsid w:val="00A5128A"/>
    <w:rsid w:val="00A5141A"/>
    <w:rsid w:val="00A515F2"/>
    <w:rsid w:val="00A51630"/>
    <w:rsid w:val="00A518B4"/>
    <w:rsid w:val="00A51957"/>
    <w:rsid w:val="00A52249"/>
    <w:rsid w:val="00A52329"/>
    <w:rsid w:val="00A52534"/>
    <w:rsid w:val="00A52ABF"/>
    <w:rsid w:val="00A53699"/>
    <w:rsid w:val="00A5374C"/>
    <w:rsid w:val="00A53902"/>
    <w:rsid w:val="00A5393A"/>
    <w:rsid w:val="00A53D5E"/>
    <w:rsid w:val="00A53F3B"/>
    <w:rsid w:val="00A53FCA"/>
    <w:rsid w:val="00A544B3"/>
    <w:rsid w:val="00A54546"/>
    <w:rsid w:val="00A54BAA"/>
    <w:rsid w:val="00A5528E"/>
    <w:rsid w:val="00A55466"/>
    <w:rsid w:val="00A5549E"/>
    <w:rsid w:val="00A5554C"/>
    <w:rsid w:val="00A5597E"/>
    <w:rsid w:val="00A55A7D"/>
    <w:rsid w:val="00A55B6F"/>
    <w:rsid w:val="00A56050"/>
    <w:rsid w:val="00A5632E"/>
    <w:rsid w:val="00A568B0"/>
    <w:rsid w:val="00A569F2"/>
    <w:rsid w:val="00A56B9A"/>
    <w:rsid w:val="00A56E35"/>
    <w:rsid w:val="00A573BE"/>
    <w:rsid w:val="00A578CC"/>
    <w:rsid w:val="00A57C55"/>
    <w:rsid w:val="00A57E4C"/>
    <w:rsid w:val="00A60108"/>
    <w:rsid w:val="00A60994"/>
    <w:rsid w:val="00A60BF2"/>
    <w:rsid w:val="00A60D66"/>
    <w:rsid w:val="00A60F37"/>
    <w:rsid w:val="00A61082"/>
    <w:rsid w:val="00A611BD"/>
    <w:rsid w:val="00A6127D"/>
    <w:rsid w:val="00A613FB"/>
    <w:rsid w:val="00A61581"/>
    <w:rsid w:val="00A61E14"/>
    <w:rsid w:val="00A624EB"/>
    <w:rsid w:val="00A62852"/>
    <w:rsid w:val="00A62B51"/>
    <w:rsid w:val="00A62C63"/>
    <w:rsid w:val="00A62EB2"/>
    <w:rsid w:val="00A62F60"/>
    <w:rsid w:val="00A6323D"/>
    <w:rsid w:val="00A6333A"/>
    <w:rsid w:val="00A633C6"/>
    <w:rsid w:val="00A63F0E"/>
    <w:rsid w:val="00A640F8"/>
    <w:rsid w:val="00A64139"/>
    <w:rsid w:val="00A6425A"/>
    <w:rsid w:val="00A64335"/>
    <w:rsid w:val="00A64670"/>
    <w:rsid w:val="00A647FB"/>
    <w:rsid w:val="00A650DE"/>
    <w:rsid w:val="00A65127"/>
    <w:rsid w:val="00A651DC"/>
    <w:rsid w:val="00A651FA"/>
    <w:rsid w:val="00A653D6"/>
    <w:rsid w:val="00A65541"/>
    <w:rsid w:val="00A6596E"/>
    <w:rsid w:val="00A65980"/>
    <w:rsid w:val="00A65A43"/>
    <w:rsid w:val="00A65C63"/>
    <w:rsid w:val="00A65D81"/>
    <w:rsid w:val="00A6604E"/>
    <w:rsid w:val="00A664CC"/>
    <w:rsid w:val="00A6677B"/>
    <w:rsid w:val="00A66943"/>
    <w:rsid w:val="00A66B9A"/>
    <w:rsid w:val="00A66D14"/>
    <w:rsid w:val="00A67009"/>
    <w:rsid w:val="00A6705F"/>
    <w:rsid w:val="00A6710F"/>
    <w:rsid w:val="00A67414"/>
    <w:rsid w:val="00A67482"/>
    <w:rsid w:val="00A6752D"/>
    <w:rsid w:val="00A675D7"/>
    <w:rsid w:val="00A6766E"/>
    <w:rsid w:val="00A67932"/>
    <w:rsid w:val="00A6796A"/>
    <w:rsid w:val="00A67B37"/>
    <w:rsid w:val="00A67C76"/>
    <w:rsid w:val="00A67CBA"/>
    <w:rsid w:val="00A70121"/>
    <w:rsid w:val="00A70246"/>
    <w:rsid w:val="00A703D5"/>
    <w:rsid w:val="00A706C0"/>
    <w:rsid w:val="00A706D2"/>
    <w:rsid w:val="00A70985"/>
    <w:rsid w:val="00A70B6B"/>
    <w:rsid w:val="00A70BA6"/>
    <w:rsid w:val="00A70C01"/>
    <w:rsid w:val="00A70C53"/>
    <w:rsid w:val="00A710E6"/>
    <w:rsid w:val="00A711D4"/>
    <w:rsid w:val="00A7178C"/>
    <w:rsid w:val="00A7186C"/>
    <w:rsid w:val="00A71B79"/>
    <w:rsid w:val="00A71C56"/>
    <w:rsid w:val="00A71E62"/>
    <w:rsid w:val="00A71E6F"/>
    <w:rsid w:val="00A71FA5"/>
    <w:rsid w:val="00A7212A"/>
    <w:rsid w:val="00A72144"/>
    <w:rsid w:val="00A72191"/>
    <w:rsid w:val="00A721E3"/>
    <w:rsid w:val="00A724DD"/>
    <w:rsid w:val="00A724E1"/>
    <w:rsid w:val="00A724FD"/>
    <w:rsid w:val="00A72627"/>
    <w:rsid w:val="00A726EE"/>
    <w:rsid w:val="00A72D10"/>
    <w:rsid w:val="00A72EB5"/>
    <w:rsid w:val="00A72FEC"/>
    <w:rsid w:val="00A7305D"/>
    <w:rsid w:val="00A73143"/>
    <w:rsid w:val="00A733D9"/>
    <w:rsid w:val="00A733EE"/>
    <w:rsid w:val="00A73622"/>
    <w:rsid w:val="00A73944"/>
    <w:rsid w:val="00A739C5"/>
    <w:rsid w:val="00A7407E"/>
    <w:rsid w:val="00A74314"/>
    <w:rsid w:val="00A74406"/>
    <w:rsid w:val="00A74606"/>
    <w:rsid w:val="00A748AB"/>
    <w:rsid w:val="00A74C6F"/>
    <w:rsid w:val="00A74E16"/>
    <w:rsid w:val="00A7509D"/>
    <w:rsid w:val="00A75343"/>
    <w:rsid w:val="00A7548A"/>
    <w:rsid w:val="00A75665"/>
    <w:rsid w:val="00A75745"/>
    <w:rsid w:val="00A75783"/>
    <w:rsid w:val="00A758E8"/>
    <w:rsid w:val="00A75BAD"/>
    <w:rsid w:val="00A75CCA"/>
    <w:rsid w:val="00A75D3E"/>
    <w:rsid w:val="00A760FB"/>
    <w:rsid w:val="00A76368"/>
    <w:rsid w:val="00A766B8"/>
    <w:rsid w:val="00A769D8"/>
    <w:rsid w:val="00A76B08"/>
    <w:rsid w:val="00A76BD8"/>
    <w:rsid w:val="00A76D43"/>
    <w:rsid w:val="00A772F7"/>
    <w:rsid w:val="00A7751B"/>
    <w:rsid w:val="00A77B88"/>
    <w:rsid w:val="00A77E07"/>
    <w:rsid w:val="00A802EF"/>
    <w:rsid w:val="00A803AA"/>
    <w:rsid w:val="00A80AD7"/>
    <w:rsid w:val="00A80DD3"/>
    <w:rsid w:val="00A8110F"/>
    <w:rsid w:val="00A811CE"/>
    <w:rsid w:val="00A8137D"/>
    <w:rsid w:val="00A815CB"/>
    <w:rsid w:val="00A81A34"/>
    <w:rsid w:val="00A82078"/>
    <w:rsid w:val="00A82097"/>
    <w:rsid w:val="00A827CF"/>
    <w:rsid w:val="00A83024"/>
    <w:rsid w:val="00A83041"/>
    <w:rsid w:val="00A833E8"/>
    <w:rsid w:val="00A83490"/>
    <w:rsid w:val="00A836B2"/>
    <w:rsid w:val="00A83CF1"/>
    <w:rsid w:val="00A83D04"/>
    <w:rsid w:val="00A8421C"/>
    <w:rsid w:val="00A8424C"/>
    <w:rsid w:val="00A84545"/>
    <w:rsid w:val="00A84907"/>
    <w:rsid w:val="00A849DB"/>
    <w:rsid w:val="00A84AF3"/>
    <w:rsid w:val="00A84F57"/>
    <w:rsid w:val="00A853AD"/>
    <w:rsid w:val="00A853D4"/>
    <w:rsid w:val="00A8581D"/>
    <w:rsid w:val="00A85A80"/>
    <w:rsid w:val="00A85D84"/>
    <w:rsid w:val="00A86190"/>
    <w:rsid w:val="00A861A1"/>
    <w:rsid w:val="00A867E7"/>
    <w:rsid w:val="00A868F4"/>
    <w:rsid w:val="00A87110"/>
    <w:rsid w:val="00A8745B"/>
    <w:rsid w:val="00A87595"/>
    <w:rsid w:val="00A875C0"/>
    <w:rsid w:val="00A87B47"/>
    <w:rsid w:val="00A87D98"/>
    <w:rsid w:val="00A90060"/>
    <w:rsid w:val="00A900EE"/>
    <w:rsid w:val="00A9028C"/>
    <w:rsid w:val="00A90771"/>
    <w:rsid w:val="00A90865"/>
    <w:rsid w:val="00A9091C"/>
    <w:rsid w:val="00A90CB1"/>
    <w:rsid w:val="00A90EA0"/>
    <w:rsid w:val="00A90F00"/>
    <w:rsid w:val="00A9140D"/>
    <w:rsid w:val="00A9156F"/>
    <w:rsid w:val="00A91600"/>
    <w:rsid w:val="00A91740"/>
    <w:rsid w:val="00A917DB"/>
    <w:rsid w:val="00A91889"/>
    <w:rsid w:val="00A918B1"/>
    <w:rsid w:val="00A91BBD"/>
    <w:rsid w:val="00A92933"/>
    <w:rsid w:val="00A92AD4"/>
    <w:rsid w:val="00A92C0F"/>
    <w:rsid w:val="00A92C6D"/>
    <w:rsid w:val="00A9358C"/>
    <w:rsid w:val="00A941A0"/>
    <w:rsid w:val="00A9447B"/>
    <w:rsid w:val="00A94A84"/>
    <w:rsid w:val="00A9522D"/>
    <w:rsid w:val="00A954B7"/>
    <w:rsid w:val="00A95584"/>
    <w:rsid w:val="00A956FA"/>
    <w:rsid w:val="00A958C5"/>
    <w:rsid w:val="00A95E48"/>
    <w:rsid w:val="00A95E96"/>
    <w:rsid w:val="00A95FB8"/>
    <w:rsid w:val="00A96099"/>
    <w:rsid w:val="00A963E9"/>
    <w:rsid w:val="00A9650B"/>
    <w:rsid w:val="00A96654"/>
    <w:rsid w:val="00A966F5"/>
    <w:rsid w:val="00A9672D"/>
    <w:rsid w:val="00A968E5"/>
    <w:rsid w:val="00A96B9C"/>
    <w:rsid w:val="00A96CF1"/>
    <w:rsid w:val="00A96F25"/>
    <w:rsid w:val="00A9704E"/>
    <w:rsid w:val="00A9739C"/>
    <w:rsid w:val="00A9742E"/>
    <w:rsid w:val="00A974F6"/>
    <w:rsid w:val="00A9765B"/>
    <w:rsid w:val="00A97D3F"/>
    <w:rsid w:val="00AA004B"/>
    <w:rsid w:val="00AA0205"/>
    <w:rsid w:val="00AA0246"/>
    <w:rsid w:val="00AA04A5"/>
    <w:rsid w:val="00AA05A4"/>
    <w:rsid w:val="00AA0620"/>
    <w:rsid w:val="00AA0670"/>
    <w:rsid w:val="00AA0692"/>
    <w:rsid w:val="00AA0F2E"/>
    <w:rsid w:val="00AA13B9"/>
    <w:rsid w:val="00AA14AE"/>
    <w:rsid w:val="00AA1855"/>
    <w:rsid w:val="00AA1CD3"/>
    <w:rsid w:val="00AA209C"/>
    <w:rsid w:val="00AA21F1"/>
    <w:rsid w:val="00AA2254"/>
    <w:rsid w:val="00AA26B4"/>
    <w:rsid w:val="00AA2994"/>
    <w:rsid w:val="00AA2C8A"/>
    <w:rsid w:val="00AA2FA6"/>
    <w:rsid w:val="00AA3098"/>
    <w:rsid w:val="00AA30ED"/>
    <w:rsid w:val="00AA383A"/>
    <w:rsid w:val="00AA398D"/>
    <w:rsid w:val="00AA3BF7"/>
    <w:rsid w:val="00AA3CA5"/>
    <w:rsid w:val="00AA3E9A"/>
    <w:rsid w:val="00AA3F85"/>
    <w:rsid w:val="00AA4496"/>
    <w:rsid w:val="00AA4C69"/>
    <w:rsid w:val="00AA4FC1"/>
    <w:rsid w:val="00AA5050"/>
    <w:rsid w:val="00AA5317"/>
    <w:rsid w:val="00AA5AD5"/>
    <w:rsid w:val="00AA5E48"/>
    <w:rsid w:val="00AA5F4D"/>
    <w:rsid w:val="00AA60DE"/>
    <w:rsid w:val="00AA6166"/>
    <w:rsid w:val="00AA63CE"/>
    <w:rsid w:val="00AA687A"/>
    <w:rsid w:val="00AA6DA7"/>
    <w:rsid w:val="00AA6FDC"/>
    <w:rsid w:val="00AA7084"/>
    <w:rsid w:val="00AA719B"/>
    <w:rsid w:val="00AA7483"/>
    <w:rsid w:val="00AA78FB"/>
    <w:rsid w:val="00AA7E71"/>
    <w:rsid w:val="00AB0098"/>
    <w:rsid w:val="00AB0115"/>
    <w:rsid w:val="00AB024A"/>
    <w:rsid w:val="00AB02FD"/>
    <w:rsid w:val="00AB050A"/>
    <w:rsid w:val="00AB06D8"/>
    <w:rsid w:val="00AB06F5"/>
    <w:rsid w:val="00AB0E4A"/>
    <w:rsid w:val="00AB0F4B"/>
    <w:rsid w:val="00AB100E"/>
    <w:rsid w:val="00AB1028"/>
    <w:rsid w:val="00AB1290"/>
    <w:rsid w:val="00AB13E8"/>
    <w:rsid w:val="00AB17B1"/>
    <w:rsid w:val="00AB1881"/>
    <w:rsid w:val="00AB1956"/>
    <w:rsid w:val="00AB19D6"/>
    <w:rsid w:val="00AB1C38"/>
    <w:rsid w:val="00AB1DFB"/>
    <w:rsid w:val="00AB26F0"/>
    <w:rsid w:val="00AB2B19"/>
    <w:rsid w:val="00AB2B2E"/>
    <w:rsid w:val="00AB2CE3"/>
    <w:rsid w:val="00AB31CA"/>
    <w:rsid w:val="00AB34D8"/>
    <w:rsid w:val="00AB35D1"/>
    <w:rsid w:val="00AB3684"/>
    <w:rsid w:val="00AB3908"/>
    <w:rsid w:val="00AB4001"/>
    <w:rsid w:val="00AB4107"/>
    <w:rsid w:val="00AB42D2"/>
    <w:rsid w:val="00AB4632"/>
    <w:rsid w:val="00AB4959"/>
    <w:rsid w:val="00AB4B03"/>
    <w:rsid w:val="00AB4BDA"/>
    <w:rsid w:val="00AB4CF4"/>
    <w:rsid w:val="00AB4EAA"/>
    <w:rsid w:val="00AB4FAE"/>
    <w:rsid w:val="00AB5381"/>
    <w:rsid w:val="00AB5900"/>
    <w:rsid w:val="00AB5DF4"/>
    <w:rsid w:val="00AB61DE"/>
    <w:rsid w:val="00AB662A"/>
    <w:rsid w:val="00AB6B14"/>
    <w:rsid w:val="00AB746A"/>
    <w:rsid w:val="00AB7D12"/>
    <w:rsid w:val="00AC01E3"/>
    <w:rsid w:val="00AC0229"/>
    <w:rsid w:val="00AC0366"/>
    <w:rsid w:val="00AC0A8F"/>
    <w:rsid w:val="00AC0FA8"/>
    <w:rsid w:val="00AC1151"/>
    <w:rsid w:val="00AC1399"/>
    <w:rsid w:val="00AC14D6"/>
    <w:rsid w:val="00AC155A"/>
    <w:rsid w:val="00AC188D"/>
    <w:rsid w:val="00AC23A5"/>
    <w:rsid w:val="00AC27CF"/>
    <w:rsid w:val="00AC28F0"/>
    <w:rsid w:val="00AC2943"/>
    <w:rsid w:val="00AC2AAC"/>
    <w:rsid w:val="00AC2C03"/>
    <w:rsid w:val="00AC2C7E"/>
    <w:rsid w:val="00AC311B"/>
    <w:rsid w:val="00AC319F"/>
    <w:rsid w:val="00AC3468"/>
    <w:rsid w:val="00AC38CB"/>
    <w:rsid w:val="00AC3A76"/>
    <w:rsid w:val="00AC3AEA"/>
    <w:rsid w:val="00AC3C36"/>
    <w:rsid w:val="00AC3DD5"/>
    <w:rsid w:val="00AC3E69"/>
    <w:rsid w:val="00AC3E6D"/>
    <w:rsid w:val="00AC3F0F"/>
    <w:rsid w:val="00AC3FF5"/>
    <w:rsid w:val="00AC409B"/>
    <w:rsid w:val="00AC43B3"/>
    <w:rsid w:val="00AC43E2"/>
    <w:rsid w:val="00AC48F4"/>
    <w:rsid w:val="00AC4B13"/>
    <w:rsid w:val="00AC4FE6"/>
    <w:rsid w:val="00AC5439"/>
    <w:rsid w:val="00AC553E"/>
    <w:rsid w:val="00AC5708"/>
    <w:rsid w:val="00AC59AD"/>
    <w:rsid w:val="00AC59B8"/>
    <w:rsid w:val="00AC5B82"/>
    <w:rsid w:val="00AC5C12"/>
    <w:rsid w:val="00AC5C7F"/>
    <w:rsid w:val="00AC5D33"/>
    <w:rsid w:val="00AC5E2B"/>
    <w:rsid w:val="00AC5F3B"/>
    <w:rsid w:val="00AC681C"/>
    <w:rsid w:val="00AC69AA"/>
    <w:rsid w:val="00AC6D8A"/>
    <w:rsid w:val="00AC703F"/>
    <w:rsid w:val="00AC707C"/>
    <w:rsid w:val="00AC7354"/>
    <w:rsid w:val="00AC7BB7"/>
    <w:rsid w:val="00AD02CB"/>
    <w:rsid w:val="00AD05AA"/>
    <w:rsid w:val="00AD0931"/>
    <w:rsid w:val="00AD0A23"/>
    <w:rsid w:val="00AD0EFE"/>
    <w:rsid w:val="00AD0F82"/>
    <w:rsid w:val="00AD0FDF"/>
    <w:rsid w:val="00AD105F"/>
    <w:rsid w:val="00AD10BE"/>
    <w:rsid w:val="00AD10D7"/>
    <w:rsid w:val="00AD178A"/>
    <w:rsid w:val="00AD17BF"/>
    <w:rsid w:val="00AD1A37"/>
    <w:rsid w:val="00AD2114"/>
    <w:rsid w:val="00AD2440"/>
    <w:rsid w:val="00AD2583"/>
    <w:rsid w:val="00AD25F4"/>
    <w:rsid w:val="00AD2803"/>
    <w:rsid w:val="00AD3393"/>
    <w:rsid w:val="00AD3506"/>
    <w:rsid w:val="00AD37AB"/>
    <w:rsid w:val="00AD394E"/>
    <w:rsid w:val="00AD3D03"/>
    <w:rsid w:val="00AD40B5"/>
    <w:rsid w:val="00AD4182"/>
    <w:rsid w:val="00AD4353"/>
    <w:rsid w:val="00AD4594"/>
    <w:rsid w:val="00AD459E"/>
    <w:rsid w:val="00AD491E"/>
    <w:rsid w:val="00AD4AA2"/>
    <w:rsid w:val="00AD4D2D"/>
    <w:rsid w:val="00AD4E21"/>
    <w:rsid w:val="00AD5061"/>
    <w:rsid w:val="00AD56A9"/>
    <w:rsid w:val="00AD596B"/>
    <w:rsid w:val="00AD6010"/>
    <w:rsid w:val="00AD611C"/>
    <w:rsid w:val="00AD6665"/>
    <w:rsid w:val="00AD68FB"/>
    <w:rsid w:val="00AD6BC7"/>
    <w:rsid w:val="00AD7208"/>
    <w:rsid w:val="00AD72C2"/>
    <w:rsid w:val="00AD7560"/>
    <w:rsid w:val="00AD7783"/>
    <w:rsid w:val="00AD7CF4"/>
    <w:rsid w:val="00AD7DBB"/>
    <w:rsid w:val="00AE006D"/>
    <w:rsid w:val="00AE0330"/>
    <w:rsid w:val="00AE0349"/>
    <w:rsid w:val="00AE043B"/>
    <w:rsid w:val="00AE08C3"/>
    <w:rsid w:val="00AE0AFD"/>
    <w:rsid w:val="00AE0D57"/>
    <w:rsid w:val="00AE0F29"/>
    <w:rsid w:val="00AE0F7A"/>
    <w:rsid w:val="00AE106B"/>
    <w:rsid w:val="00AE1847"/>
    <w:rsid w:val="00AE18AC"/>
    <w:rsid w:val="00AE1952"/>
    <w:rsid w:val="00AE1F39"/>
    <w:rsid w:val="00AE205D"/>
    <w:rsid w:val="00AE2250"/>
    <w:rsid w:val="00AE2667"/>
    <w:rsid w:val="00AE274A"/>
    <w:rsid w:val="00AE2856"/>
    <w:rsid w:val="00AE2970"/>
    <w:rsid w:val="00AE2C18"/>
    <w:rsid w:val="00AE35FA"/>
    <w:rsid w:val="00AE3E1F"/>
    <w:rsid w:val="00AE3F09"/>
    <w:rsid w:val="00AE4040"/>
    <w:rsid w:val="00AE40D1"/>
    <w:rsid w:val="00AE427A"/>
    <w:rsid w:val="00AE42A3"/>
    <w:rsid w:val="00AE43BF"/>
    <w:rsid w:val="00AE4455"/>
    <w:rsid w:val="00AE4B38"/>
    <w:rsid w:val="00AE4BCA"/>
    <w:rsid w:val="00AE4EB7"/>
    <w:rsid w:val="00AE52E3"/>
    <w:rsid w:val="00AE5737"/>
    <w:rsid w:val="00AE5924"/>
    <w:rsid w:val="00AE5E18"/>
    <w:rsid w:val="00AE6060"/>
    <w:rsid w:val="00AE615F"/>
    <w:rsid w:val="00AE623B"/>
    <w:rsid w:val="00AE64E1"/>
    <w:rsid w:val="00AE6518"/>
    <w:rsid w:val="00AE6752"/>
    <w:rsid w:val="00AE67F4"/>
    <w:rsid w:val="00AE68ED"/>
    <w:rsid w:val="00AE691F"/>
    <w:rsid w:val="00AE6B6F"/>
    <w:rsid w:val="00AE73EB"/>
    <w:rsid w:val="00AE772C"/>
    <w:rsid w:val="00AE7830"/>
    <w:rsid w:val="00AE791B"/>
    <w:rsid w:val="00AE7D24"/>
    <w:rsid w:val="00AE7E94"/>
    <w:rsid w:val="00AF0350"/>
    <w:rsid w:val="00AF06BC"/>
    <w:rsid w:val="00AF0788"/>
    <w:rsid w:val="00AF08FB"/>
    <w:rsid w:val="00AF09CD"/>
    <w:rsid w:val="00AF09E0"/>
    <w:rsid w:val="00AF0A35"/>
    <w:rsid w:val="00AF0B3D"/>
    <w:rsid w:val="00AF0B5A"/>
    <w:rsid w:val="00AF0C68"/>
    <w:rsid w:val="00AF13DD"/>
    <w:rsid w:val="00AF157D"/>
    <w:rsid w:val="00AF17E1"/>
    <w:rsid w:val="00AF1BF9"/>
    <w:rsid w:val="00AF1D5B"/>
    <w:rsid w:val="00AF1E2B"/>
    <w:rsid w:val="00AF1EF7"/>
    <w:rsid w:val="00AF1FA3"/>
    <w:rsid w:val="00AF2058"/>
    <w:rsid w:val="00AF2061"/>
    <w:rsid w:val="00AF2085"/>
    <w:rsid w:val="00AF208E"/>
    <w:rsid w:val="00AF2122"/>
    <w:rsid w:val="00AF2524"/>
    <w:rsid w:val="00AF26AF"/>
    <w:rsid w:val="00AF2815"/>
    <w:rsid w:val="00AF29BA"/>
    <w:rsid w:val="00AF2A8F"/>
    <w:rsid w:val="00AF2ADD"/>
    <w:rsid w:val="00AF2B70"/>
    <w:rsid w:val="00AF2CFD"/>
    <w:rsid w:val="00AF30ED"/>
    <w:rsid w:val="00AF322D"/>
    <w:rsid w:val="00AF3238"/>
    <w:rsid w:val="00AF3479"/>
    <w:rsid w:val="00AF3507"/>
    <w:rsid w:val="00AF3529"/>
    <w:rsid w:val="00AF3677"/>
    <w:rsid w:val="00AF37AB"/>
    <w:rsid w:val="00AF38C8"/>
    <w:rsid w:val="00AF3951"/>
    <w:rsid w:val="00AF3A84"/>
    <w:rsid w:val="00AF3CC5"/>
    <w:rsid w:val="00AF4219"/>
    <w:rsid w:val="00AF4818"/>
    <w:rsid w:val="00AF4F1E"/>
    <w:rsid w:val="00AF5226"/>
    <w:rsid w:val="00AF527B"/>
    <w:rsid w:val="00AF59A5"/>
    <w:rsid w:val="00AF5B56"/>
    <w:rsid w:val="00AF603C"/>
    <w:rsid w:val="00AF6230"/>
    <w:rsid w:val="00AF636A"/>
    <w:rsid w:val="00AF640C"/>
    <w:rsid w:val="00AF64BF"/>
    <w:rsid w:val="00AF655B"/>
    <w:rsid w:val="00AF6735"/>
    <w:rsid w:val="00AF6C42"/>
    <w:rsid w:val="00AF6DBF"/>
    <w:rsid w:val="00AF6E57"/>
    <w:rsid w:val="00AF6E90"/>
    <w:rsid w:val="00AF6F99"/>
    <w:rsid w:val="00AF79EE"/>
    <w:rsid w:val="00AF7C85"/>
    <w:rsid w:val="00AF7DD1"/>
    <w:rsid w:val="00AF7E05"/>
    <w:rsid w:val="00B005F3"/>
    <w:rsid w:val="00B0080E"/>
    <w:rsid w:val="00B00ABB"/>
    <w:rsid w:val="00B01082"/>
    <w:rsid w:val="00B0112A"/>
    <w:rsid w:val="00B014C6"/>
    <w:rsid w:val="00B01682"/>
    <w:rsid w:val="00B019A0"/>
    <w:rsid w:val="00B01D31"/>
    <w:rsid w:val="00B01F1D"/>
    <w:rsid w:val="00B022C3"/>
    <w:rsid w:val="00B02398"/>
    <w:rsid w:val="00B02662"/>
    <w:rsid w:val="00B026F6"/>
    <w:rsid w:val="00B02D91"/>
    <w:rsid w:val="00B0300D"/>
    <w:rsid w:val="00B03550"/>
    <w:rsid w:val="00B035C0"/>
    <w:rsid w:val="00B036E6"/>
    <w:rsid w:val="00B037B5"/>
    <w:rsid w:val="00B03E15"/>
    <w:rsid w:val="00B040AB"/>
    <w:rsid w:val="00B040B1"/>
    <w:rsid w:val="00B0430B"/>
    <w:rsid w:val="00B04433"/>
    <w:rsid w:val="00B0486B"/>
    <w:rsid w:val="00B0496E"/>
    <w:rsid w:val="00B049DB"/>
    <w:rsid w:val="00B04AA1"/>
    <w:rsid w:val="00B04B70"/>
    <w:rsid w:val="00B04D13"/>
    <w:rsid w:val="00B0502C"/>
    <w:rsid w:val="00B051A2"/>
    <w:rsid w:val="00B05460"/>
    <w:rsid w:val="00B05500"/>
    <w:rsid w:val="00B0554F"/>
    <w:rsid w:val="00B05BFD"/>
    <w:rsid w:val="00B06867"/>
    <w:rsid w:val="00B06C7B"/>
    <w:rsid w:val="00B06D86"/>
    <w:rsid w:val="00B06EEE"/>
    <w:rsid w:val="00B0730F"/>
    <w:rsid w:val="00B0737C"/>
    <w:rsid w:val="00B07582"/>
    <w:rsid w:val="00B07681"/>
    <w:rsid w:val="00B079B1"/>
    <w:rsid w:val="00B07EEA"/>
    <w:rsid w:val="00B103C5"/>
    <w:rsid w:val="00B10514"/>
    <w:rsid w:val="00B107A7"/>
    <w:rsid w:val="00B10A7C"/>
    <w:rsid w:val="00B10D4B"/>
    <w:rsid w:val="00B10F30"/>
    <w:rsid w:val="00B11078"/>
    <w:rsid w:val="00B110CB"/>
    <w:rsid w:val="00B113A7"/>
    <w:rsid w:val="00B113EC"/>
    <w:rsid w:val="00B114FE"/>
    <w:rsid w:val="00B11C3E"/>
    <w:rsid w:val="00B11EC8"/>
    <w:rsid w:val="00B11EFB"/>
    <w:rsid w:val="00B1200C"/>
    <w:rsid w:val="00B122C4"/>
    <w:rsid w:val="00B12337"/>
    <w:rsid w:val="00B123A2"/>
    <w:rsid w:val="00B128A0"/>
    <w:rsid w:val="00B128A1"/>
    <w:rsid w:val="00B12A4C"/>
    <w:rsid w:val="00B12DEF"/>
    <w:rsid w:val="00B13574"/>
    <w:rsid w:val="00B13A58"/>
    <w:rsid w:val="00B13BFA"/>
    <w:rsid w:val="00B13CC9"/>
    <w:rsid w:val="00B13EF8"/>
    <w:rsid w:val="00B142FC"/>
    <w:rsid w:val="00B14309"/>
    <w:rsid w:val="00B1457B"/>
    <w:rsid w:val="00B146E8"/>
    <w:rsid w:val="00B1474F"/>
    <w:rsid w:val="00B14882"/>
    <w:rsid w:val="00B14DAC"/>
    <w:rsid w:val="00B14EE3"/>
    <w:rsid w:val="00B14F6F"/>
    <w:rsid w:val="00B15162"/>
    <w:rsid w:val="00B152CE"/>
    <w:rsid w:val="00B15603"/>
    <w:rsid w:val="00B15E91"/>
    <w:rsid w:val="00B15EAD"/>
    <w:rsid w:val="00B15F3E"/>
    <w:rsid w:val="00B171C3"/>
    <w:rsid w:val="00B17903"/>
    <w:rsid w:val="00B17BE1"/>
    <w:rsid w:val="00B17F16"/>
    <w:rsid w:val="00B20012"/>
    <w:rsid w:val="00B202D5"/>
    <w:rsid w:val="00B20710"/>
    <w:rsid w:val="00B207CA"/>
    <w:rsid w:val="00B20824"/>
    <w:rsid w:val="00B20E60"/>
    <w:rsid w:val="00B2154C"/>
    <w:rsid w:val="00B21761"/>
    <w:rsid w:val="00B2176F"/>
    <w:rsid w:val="00B217C4"/>
    <w:rsid w:val="00B21AE3"/>
    <w:rsid w:val="00B21F81"/>
    <w:rsid w:val="00B221CB"/>
    <w:rsid w:val="00B22767"/>
    <w:rsid w:val="00B22A48"/>
    <w:rsid w:val="00B22B86"/>
    <w:rsid w:val="00B22F46"/>
    <w:rsid w:val="00B23046"/>
    <w:rsid w:val="00B23B53"/>
    <w:rsid w:val="00B23C69"/>
    <w:rsid w:val="00B23D75"/>
    <w:rsid w:val="00B23E3F"/>
    <w:rsid w:val="00B24492"/>
    <w:rsid w:val="00B2455C"/>
    <w:rsid w:val="00B245FD"/>
    <w:rsid w:val="00B247DC"/>
    <w:rsid w:val="00B2498A"/>
    <w:rsid w:val="00B24CF2"/>
    <w:rsid w:val="00B24FE1"/>
    <w:rsid w:val="00B25287"/>
    <w:rsid w:val="00B25322"/>
    <w:rsid w:val="00B25469"/>
    <w:rsid w:val="00B2604F"/>
    <w:rsid w:val="00B261DF"/>
    <w:rsid w:val="00B262CF"/>
    <w:rsid w:val="00B26876"/>
    <w:rsid w:val="00B2687C"/>
    <w:rsid w:val="00B26DC8"/>
    <w:rsid w:val="00B272E0"/>
    <w:rsid w:val="00B27CFC"/>
    <w:rsid w:val="00B27E6C"/>
    <w:rsid w:val="00B27EBE"/>
    <w:rsid w:val="00B30026"/>
    <w:rsid w:val="00B3018B"/>
    <w:rsid w:val="00B304C8"/>
    <w:rsid w:val="00B30B90"/>
    <w:rsid w:val="00B30CEA"/>
    <w:rsid w:val="00B30D1D"/>
    <w:rsid w:val="00B31170"/>
    <w:rsid w:val="00B31325"/>
    <w:rsid w:val="00B31F5C"/>
    <w:rsid w:val="00B32323"/>
    <w:rsid w:val="00B32581"/>
    <w:rsid w:val="00B32841"/>
    <w:rsid w:val="00B32B81"/>
    <w:rsid w:val="00B32BCF"/>
    <w:rsid w:val="00B32D13"/>
    <w:rsid w:val="00B32D44"/>
    <w:rsid w:val="00B330A6"/>
    <w:rsid w:val="00B3311D"/>
    <w:rsid w:val="00B333F7"/>
    <w:rsid w:val="00B335F8"/>
    <w:rsid w:val="00B337D0"/>
    <w:rsid w:val="00B338FB"/>
    <w:rsid w:val="00B3393C"/>
    <w:rsid w:val="00B34421"/>
    <w:rsid w:val="00B34429"/>
    <w:rsid w:val="00B345C7"/>
    <w:rsid w:val="00B346B5"/>
    <w:rsid w:val="00B3499D"/>
    <w:rsid w:val="00B349F2"/>
    <w:rsid w:val="00B350D2"/>
    <w:rsid w:val="00B352A1"/>
    <w:rsid w:val="00B353D0"/>
    <w:rsid w:val="00B35BB0"/>
    <w:rsid w:val="00B35D81"/>
    <w:rsid w:val="00B35DF5"/>
    <w:rsid w:val="00B35DFA"/>
    <w:rsid w:val="00B36003"/>
    <w:rsid w:val="00B36321"/>
    <w:rsid w:val="00B36433"/>
    <w:rsid w:val="00B36AA3"/>
    <w:rsid w:val="00B36BE4"/>
    <w:rsid w:val="00B36C8B"/>
    <w:rsid w:val="00B36E68"/>
    <w:rsid w:val="00B36ED1"/>
    <w:rsid w:val="00B3730B"/>
    <w:rsid w:val="00B3730E"/>
    <w:rsid w:val="00B373A0"/>
    <w:rsid w:val="00B375D3"/>
    <w:rsid w:val="00B37632"/>
    <w:rsid w:val="00B37702"/>
    <w:rsid w:val="00B3776C"/>
    <w:rsid w:val="00B37777"/>
    <w:rsid w:val="00B37B11"/>
    <w:rsid w:val="00B37D80"/>
    <w:rsid w:val="00B37DF3"/>
    <w:rsid w:val="00B402ED"/>
    <w:rsid w:val="00B4038C"/>
    <w:rsid w:val="00B40421"/>
    <w:rsid w:val="00B41405"/>
    <w:rsid w:val="00B419B7"/>
    <w:rsid w:val="00B41DFC"/>
    <w:rsid w:val="00B41E8C"/>
    <w:rsid w:val="00B41EF7"/>
    <w:rsid w:val="00B41FC0"/>
    <w:rsid w:val="00B41FF0"/>
    <w:rsid w:val="00B4201A"/>
    <w:rsid w:val="00B425B7"/>
    <w:rsid w:val="00B42635"/>
    <w:rsid w:val="00B428FB"/>
    <w:rsid w:val="00B42ABE"/>
    <w:rsid w:val="00B42B41"/>
    <w:rsid w:val="00B43996"/>
    <w:rsid w:val="00B43B8B"/>
    <w:rsid w:val="00B43F36"/>
    <w:rsid w:val="00B441BD"/>
    <w:rsid w:val="00B4427E"/>
    <w:rsid w:val="00B44479"/>
    <w:rsid w:val="00B444B0"/>
    <w:rsid w:val="00B445B7"/>
    <w:rsid w:val="00B447B4"/>
    <w:rsid w:val="00B44811"/>
    <w:rsid w:val="00B44AF7"/>
    <w:rsid w:val="00B450FC"/>
    <w:rsid w:val="00B45238"/>
    <w:rsid w:val="00B45606"/>
    <w:rsid w:val="00B45A0F"/>
    <w:rsid w:val="00B45EF0"/>
    <w:rsid w:val="00B462EB"/>
    <w:rsid w:val="00B46B1E"/>
    <w:rsid w:val="00B46D85"/>
    <w:rsid w:val="00B46F9B"/>
    <w:rsid w:val="00B47198"/>
    <w:rsid w:val="00B471CA"/>
    <w:rsid w:val="00B471CF"/>
    <w:rsid w:val="00B472C0"/>
    <w:rsid w:val="00B4738F"/>
    <w:rsid w:val="00B47A7E"/>
    <w:rsid w:val="00B47E6D"/>
    <w:rsid w:val="00B507A2"/>
    <w:rsid w:val="00B50D3D"/>
    <w:rsid w:val="00B511C4"/>
    <w:rsid w:val="00B5147D"/>
    <w:rsid w:val="00B51A72"/>
    <w:rsid w:val="00B51D4B"/>
    <w:rsid w:val="00B51E47"/>
    <w:rsid w:val="00B51F40"/>
    <w:rsid w:val="00B51F70"/>
    <w:rsid w:val="00B5224C"/>
    <w:rsid w:val="00B52559"/>
    <w:rsid w:val="00B527D3"/>
    <w:rsid w:val="00B52989"/>
    <w:rsid w:val="00B52BF3"/>
    <w:rsid w:val="00B53488"/>
    <w:rsid w:val="00B5356F"/>
    <w:rsid w:val="00B5364E"/>
    <w:rsid w:val="00B53664"/>
    <w:rsid w:val="00B53A78"/>
    <w:rsid w:val="00B53B48"/>
    <w:rsid w:val="00B5409E"/>
    <w:rsid w:val="00B540AA"/>
    <w:rsid w:val="00B540DA"/>
    <w:rsid w:val="00B5480D"/>
    <w:rsid w:val="00B54AC7"/>
    <w:rsid w:val="00B54D70"/>
    <w:rsid w:val="00B55092"/>
    <w:rsid w:val="00B552AC"/>
    <w:rsid w:val="00B55694"/>
    <w:rsid w:val="00B55959"/>
    <w:rsid w:val="00B559D6"/>
    <w:rsid w:val="00B55AD2"/>
    <w:rsid w:val="00B55B1D"/>
    <w:rsid w:val="00B55FB8"/>
    <w:rsid w:val="00B56653"/>
    <w:rsid w:val="00B56CF2"/>
    <w:rsid w:val="00B5726B"/>
    <w:rsid w:val="00B57377"/>
    <w:rsid w:val="00B5775A"/>
    <w:rsid w:val="00B577DC"/>
    <w:rsid w:val="00B57C88"/>
    <w:rsid w:val="00B57F24"/>
    <w:rsid w:val="00B603E2"/>
    <w:rsid w:val="00B60438"/>
    <w:rsid w:val="00B6045B"/>
    <w:rsid w:val="00B60A06"/>
    <w:rsid w:val="00B60A0B"/>
    <w:rsid w:val="00B60A62"/>
    <w:rsid w:val="00B61106"/>
    <w:rsid w:val="00B611EE"/>
    <w:rsid w:val="00B6124A"/>
    <w:rsid w:val="00B61572"/>
    <w:rsid w:val="00B61850"/>
    <w:rsid w:val="00B619A2"/>
    <w:rsid w:val="00B619EB"/>
    <w:rsid w:val="00B61E3B"/>
    <w:rsid w:val="00B61EFE"/>
    <w:rsid w:val="00B61F02"/>
    <w:rsid w:val="00B6210E"/>
    <w:rsid w:val="00B62899"/>
    <w:rsid w:val="00B62A63"/>
    <w:rsid w:val="00B62AFC"/>
    <w:rsid w:val="00B62C01"/>
    <w:rsid w:val="00B62C14"/>
    <w:rsid w:val="00B631C9"/>
    <w:rsid w:val="00B631CD"/>
    <w:rsid w:val="00B631F3"/>
    <w:rsid w:val="00B6329D"/>
    <w:rsid w:val="00B632A7"/>
    <w:rsid w:val="00B636A7"/>
    <w:rsid w:val="00B63BA4"/>
    <w:rsid w:val="00B63F3A"/>
    <w:rsid w:val="00B63FB8"/>
    <w:rsid w:val="00B643C8"/>
    <w:rsid w:val="00B64D0A"/>
    <w:rsid w:val="00B64D1F"/>
    <w:rsid w:val="00B650EE"/>
    <w:rsid w:val="00B651D7"/>
    <w:rsid w:val="00B653E1"/>
    <w:rsid w:val="00B657A9"/>
    <w:rsid w:val="00B65A85"/>
    <w:rsid w:val="00B65C55"/>
    <w:rsid w:val="00B6688F"/>
    <w:rsid w:val="00B669B1"/>
    <w:rsid w:val="00B66DE0"/>
    <w:rsid w:val="00B67273"/>
    <w:rsid w:val="00B672F3"/>
    <w:rsid w:val="00B6752D"/>
    <w:rsid w:val="00B6793C"/>
    <w:rsid w:val="00B67B59"/>
    <w:rsid w:val="00B67C51"/>
    <w:rsid w:val="00B70042"/>
    <w:rsid w:val="00B7012F"/>
    <w:rsid w:val="00B70270"/>
    <w:rsid w:val="00B70279"/>
    <w:rsid w:val="00B705BD"/>
    <w:rsid w:val="00B70678"/>
    <w:rsid w:val="00B706BB"/>
    <w:rsid w:val="00B70C11"/>
    <w:rsid w:val="00B70C76"/>
    <w:rsid w:val="00B70D16"/>
    <w:rsid w:val="00B70D36"/>
    <w:rsid w:val="00B70D80"/>
    <w:rsid w:val="00B71474"/>
    <w:rsid w:val="00B71534"/>
    <w:rsid w:val="00B716B4"/>
    <w:rsid w:val="00B72C07"/>
    <w:rsid w:val="00B72E13"/>
    <w:rsid w:val="00B730BA"/>
    <w:rsid w:val="00B73396"/>
    <w:rsid w:val="00B73476"/>
    <w:rsid w:val="00B7373E"/>
    <w:rsid w:val="00B73A11"/>
    <w:rsid w:val="00B73BA4"/>
    <w:rsid w:val="00B73DC7"/>
    <w:rsid w:val="00B73E28"/>
    <w:rsid w:val="00B73F71"/>
    <w:rsid w:val="00B74007"/>
    <w:rsid w:val="00B74380"/>
    <w:rsid w:val="00B744AA"/>
    <w:rsid w:val="00B7453B"/>
    <w:rsid w:val="00B746BC"/>
    <w:rsid w:val="00B7479C"/>
    <w:rsid w:val="00B747E2"/>
    <w:rsid w:val="00B748F8"/>
    <w:rsid w:val="00B74BBC"/>
    <w:rsid w:val="00B74E4C"/>
    <w:rsid w:val="00B74F13"/>
    <w:rsid w:val="00B74F3A"/>
    <w:rsid w:val="00B74F6F"/>
    <w:rsid w:val="00B750E5"/>
    <w:rsid w:val="00B75966"/>
    <w:rsid w:val="00B75CE7"/>
    <w:rsid w:val="00B75D78"/>
    <w:rsid w:val="00B75F11"/>
    <w:rsid w:val="00B76117"/>
    <w:rsid w:val="00B764B1"/>
    <w:rsid w:val="00B7658A"/>
    <w:rsid w:val="00B76676"/>
    <w:rsid w:val="00B76E7E"/>
    <w:rsid w:val="00B77006"/>
    <w:rsid w:val="00B77877"/>
    <w:rsid w:val="00B77BDD"/>
    <w:rsid w:val="00B77C60"/>
    <w:rsid w:val="00B77D74"/>
    <w:rsid w:val="00B77D77"/>
    <w:rsid w:val="00B77DAB"/>
    <w:rsid w:val="00B77F43"/>
    <w:rsid w:val="00B801B8"/>
    <w:rsid w:val="00B8065F"/>
    <w:rsid w:val="00B80689"/>
    <w:rsid w:val="00B80AEB"/>
    <w:rsid w:val="00B80C57"/>
    <w:rsid w:val="00B80DCF"/>
    <w:rsid w:val="00B8102A"/>
    <w:rsid w:val="00B810C1"/>
    <w:rsid w:val="00B81953"/>
    <w:rsid w:val="00B81AE5"/>
    <w:rsid w:val="00B81F71"/>
    <w:rsid w:val="00B82091"/>
    <w:rsid w:val="00B825ED"/>
    <w:rsid w:val="00B8261E"/>
    <w:rsid w:val="00B82764"/>
    <w:rsid w:val="00B82896"/>
    <w:rsid w:val="00B82BBB"/>
    <w:rsid w:val="00B82E84"/>
    <w:rsid w:val="00B83504"/>
    <w:rsid w:val="00B83642"/>
    <w:rsid w:val="00B836B8"/>
    <w:rsid w:val="00B836C1"/>
    <w:rsid w:val="00B8400C"/>
    <w:rsid w:val="00B8460F"/>
    <w:rsid w:val="00B84A6C"/>
    <w:rsid w:val="00B84A76"/>
    <w:rsid w:val="00B84A93"/>
    <w:rsid w:val="00B84EA7"/>
    <w:rsid w:val="00B85623"/>
    <w:rsid w:val="00B856B7"/>
    <w:rsid w:val="00B85843"/>
    <w:rsid w:val="00B85C30"/>
    <w:rsid w:val="00B860EF"/>
    <w:rsid w:val="00B862E8"/>
    <w:rsid w:val="00B86573"/>
    <w:rsid w:val="00B86690"/>
    <w:rsid w:val="00B86A5D"/>
    <w:rsid w:val="00B86D5B"/>
    <w:rsid w:val="00B8701D"/>
    <w:rsid w:val="00B8744E"/>
    <w:rsid w:val="00B87546"/>
    <w:rsid w:val="00B875CC"/>
    <w:rsid w:val="00B87741"/>
    <w:rsid w:val="00B879A5"/>
    <w:rsid w:val="00B87D29"/>
    <w:rsid w:val="00B87D81"/>
    <w:rsid w:val="00B87FCD"/>
    <w:rsid w:val="00B901A8"/>
    <w:rsid w:val="00B903B9"/>
    <w:rsid w:val="00B90546"/>
    <w:rsid w:val="00B905D0"/>
    <w:rsid w:val="00B906B2"/>
    <w:rsid w:val="00B908A8"/>
    <w:rsid w:val="00B90A7E"/>
    <w:rsid w:val="00B90AEF"/>
    <w:rsid w:val="00B90BE6"/>
    <w:rsid w:val="00B90F0D"/>
    <w:rsid w:val="00B910B1"/>
    <w:rsid w:val="00B9125A"/>
    <w:rsid w:val="00B912B6"/>
    <w:rsid w:val="00B91380"/>
    <w:rsid w:val="00B91601"/>
    <w:rsid w:val="00B91682"/>
    <w:rsid w:val="00B91864"/>
    <w:rsid w:val="00B91A2F"/>
    <w:rsid w:val="00B91AAF"/>
    <w:rsid w:val="00B91BBF"/>
    <w:rsid w:val="00B9232A"/>
    <w:rsid w:val="00B92414"/>
    <w:rsid w:val="00B9246E"/>
    <w:rsid w:val="00B924AD"/>
    <w:rsid w:val="00B9284B"/>
    <w:rsid w:val="00B92924"/>
    <w:rsid w:val="00B92976"/>
    <w:rsid w:val="00B9299D"/>
    <w:rsid w:val="00B92A4A"/>
    <w:rsid w:val="00B92CE8"/>
    <w:rsid w:val="00B9362A"/>
    <w:rsid w:val="00B937C8"/>
    <w:rsid w:val="00B938B9"/>
    <w:rsid w:val="00B9398E"/>
    <w:rsid w:val="00B939A5"/>
    <w:rsid w:val="00B93A87"/>
    <w:rsid w:val="00B93ADA"/>
    <w:rsid w:val="00B93BAF"/>
    <w:rsid w:val="00B93C11"/>
    <w:rsid w:val="00B93C37"/>
    <w:rsid w:val="00B93D5F"/>
    <w:rsid w:val="00B94592"/>
    <w:rsid w:val="00B94833"/>
    <w:rsid w:val="00B94971"/>
    <w:rsid w:val="00B94D90"/>
    <w:rsid w:val="00B95064"/>
    <w:rsid w:val="00B95754"/>
    <w:rsid w:val="00B9593C"/>
    <w:rsid w:val="00B95C48"/>
    <w:rsid w:val="00B95C5C"/>
    <w:rsid w:val="00B962CD"/>
    <w:rsid w:val="00B9648C"/>
    <w:rsid w:val="00B9673E"/>
    <w:rsid w:val="00B96D09"/>
    <w:rsid w:val="00B96D9F"/>
    <w:rsid w:val="00B96F4B"/>
    <w:rsid w:val="00B96F57"/>
    <w:rsid w:val="00B96FD3"/>
    <w:rsid w:val="00B970F8"/>
    <w:rsid w:val="00B9741A"/>
    <w:rsid w:val="00B974C4"/>
    <w:rsid w:val="00B97561"/>
    <w:rsid w:val="00B977FD"/>
    <w:rsid w:val="00B97CB0"/>
    <w:rsid w:val="00BA0007"/>
    <w:rsid w:val="00BA0495"/>
    <w:rsid w:val="00BA0677"/>
    <w:rsid w:val="00BA0952"/>
    <w:rsid w:val="00BA0BA0"/>
    <w:rsid w:val="00BA0F19"/>
    <w:rsid w:val="00BA0F2A"/>
    <w:rsid w:val="00BA1376"/>
    <w:rsid w:val="00BA1641"/>
    <w:rsid w:val="00BA1C78"/>
    <w:rsid w:val="00BA1CDA"/>
    <w:rsid w:val="00BA209D"/>
    <w:rsid w:val="00BA273A"/>
    <w:rsid w:val="00BA2829"/>
    <w:rsid w:val="00BA2A4E"/>
    <w:rsid w:val="00BA2A9A"/>
    <w:rsid w:val="00BA2C28"/>
    <w:rsid w:val="00BA2D9D"/>
    <w:rsid w:val="00BA330E"/>
    <w:rsid w:val="00BA33CF"/>
    <w:rsid w:val="00BA3591"/>
    <w:rsid w:val="00BA3AA6"/>
    <w:rsid w:val="00BA3DA5"/>
    <w:rsid w:val="00BA3EAD"/>
    <w:rsid w:val="00BA3F42"/>
    <w:rsid w:val="00BA3FA6"/>
    <w:rsid w:val="00BA4102"/>
    <w:rsid w:val="00BA4211"/>
    <w:rsid w:val="00BA483A"/>
    <w:rsid w:val="00BA4A8E"/>
    <w:rsid w:val="00BA4C11"/>
    <w:rsid w:val="00BA51ED"/>
    <w:rsid w:val="00BA52A4"/>
    <w:rsid w:val="00BA54E9"/>
    <w:rsid w:val="00BA553F"/>
    <w:rsid w:val="00BA57AC"/>
    <w:rsid w:val="00BA5C14"/>
    <w:rsid w:val="00BA5C66"/>
    <w:rsid w:val="00BA5E4E"/>
    <w:rsid w:val="00BA5EBC"/>
    <w:rsid w:val="00BA5F61"/>
    <w:rsid w:val="00BA622C"/>
    <w:rsid w:val="00BA626F"/>
    <w:rsid w:val="00BA6AE5"/>
    <w:rsid w:val="00BA7222"/>
    <w:rsid w:val="00BA728E"/>
    <w:rsid w:val="00BA780C"/>
    <w:rsid w:val="00BA7D04"/>
    <w:rsid w:val="00BA7D69"/>
    <w:rsid w:val="00BA7DBD"/>
    <w:rsid w:val="00BA7EBF"/>
    <w:rsid w:val="00BB0453"/>
    <w:rsid w:val="00BB0B65"/>
    <w:rsid w:val="00BB0CE2"/>
    <w:rsid w:val="00BB0D5C"/>
    <w:rsid w:val="00BB0FF2"/>
    <w:rsid w:val="00BB12DD"/>
    <w:rsid w:val="00BB1334"/>
    <w:rsid w:val="00BB15B8"/>
    <w:rsid w:val="00BB161C"/>
    <w:rsid w:val="00BB1B24"/>
    <w:rsid w:val="00BB1B48"/>
    <w:rsid w:val="00BB20DC"/>
    <w:rsid w:val="00BB22C7"/>
    <w:rsid w:val="00BB25D6"/>
    <w:rsid w:val="00BB27F7"/>
    <w:rsid w:val="00BB2B29"/>
    <w:rsid w:val="00BB2E0B"/>
    <w:rsid w:val="00BB2F41"/>
    <w:rsid w:val="00BB2F44"/>
    <w:rsid w:val="00BB3042"/>
    <w:rsid w:val="00BB31D7"/>
    <w:rsid w:val="00BB331B"/>
    <w:rsid w:val="00BB34AB"/>
    <w:rsid w:val="00BB37A8"/>
    <w:rsid w:val="00BB37DB"/>
    <w:rsid w:val="00BB3A83"/>
    <w:rsid w:val="00BB3D3F"/>
    <w:rsid w:val="00BB3F07"/>
    <w:rsid w:val="00BB413C"/>
    <w:rsid w:val="00BB4340"/>
    <w:rsid w:val="00BB4431"/>
    <w:rsid w:val="00BB4484"/>
    <w:rsid w:val="00BB4542"/>
    <w:rsid w:val="00BB489B"/>
    <w:rsid w:val="00BB48CB"/>
    <w:rsid w:val="00BB4B3D"/>
    <w:rsid w:val="00BB4BE5"/>
    <w:rsid w:val="00BB51FD"/>
    <w:rsid w:val="00BB5279"/>
    <w:rsid w:val="00BB551B"/>
    <w:rsid w:val="00BB5636"/>
    <w:rsid w:val="00BB5665"/>
    <w:rsid w:val="00BB57D6"/>
    <w:rsid w:val="00BB5A70"/>
    <w:rsid w:val="00BB5B52"/>
    <w:rsid w:val="00BB6432"/>
    <w:rsid w:val="00BB66B9"/>
    <w:rsid w:val="00BB6991"/>
    <w:rsid w:val="00BB6A15"/>
    <w:rsid w:val="00BB6CEA"/>
    <w:rsid w:val="00BB6DC3"/>
    <w:rsid w:val="00BB6F8F"/>
    <w:rsid w:val="00BB753E"/>
    <w:rsid w:val="00BB7D3B"/>
    <w:rsid w:val="00BC0151"/>
    <w:rsid w:val="00BC0642"/>
    <w:rsid w:val="00BC0D8C"/>
    <w:rsid w:val="00BC12F5"/>
    <w:rsid w:val="00BC14B5"/>
    <w:rsid w:val="00BC14DE"/>
    <w:rsid w:val="00BC163E"/>
    <w:rsid w:val="00BC1B69"/>
    <w:rsid w:val="00BC1BB9"/>
    <w:rsid w:val="00BC1D70"/>
    <w:rsid w:val="00BC1E7B"/>
    <w:rsid w:val="00BC24B7"/>
    <w:rsid w:val="00BC24CE"/>
    <w:rsid w:val="00BC2A8A"/>
    <w:rsid w:val="00BC2D42"/>
    <w:rsid w:val="00BC2E2A"/>
    <w:rsid w:val="00BC303D"/>
    <w:rsid w:val="00BC327C"/>
    <w:rsid w:val="00BC328D"/>
    <w:rsid w:val="00BC333C"/>
    <w:rsid w:val="00BC34EF"/>
    <w:rsid w:val="00BC37E9"/>
    <w:rsid w:val="00BC3AC0"/>
    <w:rsid w:val="00BC3ACB"/>
    <w:rsid w:val="00BC3B86"/>
    <w:rsid w:val="00BC3C29"/>
    <w:rsid w:val="00BC3CB5"/>
    <w:rsid w:val="00BC3F5F"/>
    <w:rsid w:val="00BC424F"/>
    <w:rsid w:val="00BC444C"/>
    <w:rsid w:val="00BC46DD"/>
    <w:rsid w:val="00BC474F"/>
    <w:rsid w:val="00BC494B"/>
    <w:rsid w:val="00BC49B9"/>
    <w:rsid w:val="00BC4B45"/>
    <w:rsid w:val="00BC4DBD"/>
    <w:rsid w:val="00BC4E21"/>
    <w:rsid w:val="00BC4E25"/>
    <w:rsid w:val="00BC4F21"/>
    <w:rsid w:val="00BC514B"/>
    <w:rsid w:val="00BC5198"/>
    <w:rsid w:val="00BC54E0"/>
    <w:rsid w:val="00BC5583"/>
    <w:rsid w:val="00BC55B1"/>
    <w:rsid w:val="00BC5707"/>
    <w:rsid w:val="00BC57F9"/>
    <w:rsid w:val="00BC5BF9"/>
    <w:rsid w:val="00BC5C00"/>
    <w:rsid w:val="00BC5DB5"/>
    <w:rsid w:val="00BC6120"/>
    <w:rsid w:val="00BC62BF"/>
    <w:rsid w:val="00BC64C6"/>
    <w:rsid w:val="00BC67B6"/>
    <w:rsid w:val="00BC6922"/>
    <w:rsid w:val="00BC6959"/>
    <w:rsid w:val="00BC6AA0"/>
    <w:rsid w:val="00BC6C7E"/>
    <w:rsid w:val="00BC6EDD"/>
    <w:rsid w:val="00BC706D"/>
    <w:rsid w:val="00BC7577"/>
    <w:rsid w:val="00BC7858"/>
    <w:rsid w:val="00BC7B2E"/>
    <w:rsid w:val="00BC7B8B"/>
    <w:rsid w:val="00BC7CAD"/>
    <w:rsid w:val="00BC7F18"/>
    <w:rsid w:val="00BC7F42"/>
    <w:rsid w:val="00BD094F"/>
    <w:rsid w:val="00BD0D02"/>
    <w:rsid w:val="00BD14CB"/>
    <w:rsid w:val="00BD1D48"/>
    <w:rsid w:val="00BD21D3"/>
    <w:rsid w:val="00BD24AB"/>
    <w:rsid w:val="00BD2734"/>
    <w:rsid w:val="00BD28AC"/>
    <w:rsid w:val="00BD28D2"/>
    <w:rsid w:val="00BD2A1F"/>
    <w:rsid w:val="00BD2C89"/>
    <w:rsid w:val="00BD2D85"/>
    <w:rsid w:val="00BD2FF1"/>
    <w:rsid w:val="00BD32A3"/>
    <w:rsid w:val="00BD3730"/>
    <w:rsid w:val="00BD3A1E"/>
    <w:rsid w:val="00BD3ECC"/>
    <w:rsid w:val="00BD3F40"/>
    <w:rsid w:val="00BD3FE6"/>
    <w:rsid w:val="00BD4068"/>
    <w:rsid w:val="00BD4468"/>
    <w:rsid w:val="00BD470E"/>
    <w:rsid w:val="00BD4E71"/>
    <w:rsid w:val="00BD51B8"/>
    <w:rsid w:val="00BD52C5"/>
    <w:rsid w:val="00BD548C"/>
    <w:rsid w:val="00BD55BA"/>
    <w:rsid w:val="00BD56CD"/>
    <w:rsid w:val="00BD5C44"/>
    <w:rsid w:val="00BD5FDC"/>
    <w:rsid w:val="00BD60AF"/>
    <w:rsid w:val="00BD6143"/>
    <w:rsid w:val="00BD6259"/>
    <w:rsid w:val="00BD6592"/>
    <w:rsid w:val="00BD65A2"/>
    <w:rsid w:val="00BD68A5"/>
    <w:rsid w:val="00BD6E80"/>
    <w:rsid w:val="00BD6F79"/>
    <w:rsid w:val="00BD725E"/>
    <w:rsid w:val="00BD754E"/>
    <w:rsid w:val="00BD7811"/>
    <w:rsid w:val="00BD7927"/>
    <w:rsid w:val="00BD79E9"/>
    <w:rsid w:val="00BD7A9F"/>
    <w:rsid w:val="00BD7D04"/>
    <w:rsid w:val="00BD7E51"/>
    <w:rsid w:val="00BD7E57"/>
    <w:rsid w:val="00BE0088"/>
    <w:rsid w:val="00BE0253"/>
    <w:rsid w:val="00BE06A9"/>
    <w:rsid w:val="00BE0770"/>
    <w:rsid w:val="00BE09EB"/>
    <w:rsid w:val="00BE0E3C"/>
    <w:rsid w:val="00BE0E4B"/>
    <w:rsid w:val="00BE1340"/>
    <w:rsid w:val="00BE1628"/>
    <w:rsid w:val="00BE187A"/>
    <w:rsid w:val="00BE1952"/>
    <w:rsid w:val="00BE1BCA"/>
    <w:rsid w:val="00BE2036"/>
    <w:rsid w:val="00BE236F"/>
    <w:rsid w:val="00BE286B"/>
    <w:rsid w:val="00BE2A46"/>
    <w:rsid w:val="00BE2A70"/>
    <w:rsid w:val="00BE2B4B"/>
    <w:rsid w:val="00BE2CF9"/>
    <w:rsid w:val="00BE329A"/>
    <w:rsid w:val="00BE4605"/>
    <w:rsid w:val="00BE4AD7"/>
    <w:rsid w:val="00BE4B3D"/>
    <w:rsid w:val="00BE4D11"/>
    <w:rsid w:val="00BE4D72"/>
    <w:rsid w:val="00BE4D94"/>
    <w:rsid w:val="00BE5205"/>
    <w:rsid w:val="00BE52BE"/>
    <w:rsid w:val="00BE5304"/>
    <w:rsid w:val="00BE5378"/>
    <w:rsid w:val="00BE571E"/>
    <w:rsid w:val="00BE5A7D"/>
    <w:rsid w:val="00BE5BF1"/>
    <w:rsid w:val="00BE5CA1"/>
    <w:rsid w:val="00BE6002"/>
    <w:rsid w:val="00BE617C"/>
    <w:rsid w:val="00BE6470"/>
    <w:rsid w:val="00BE657C"/>
    <w:rsid w:val="00BE66A9"/>
    <w:rsid w:val="00BE6821"/>
    <w:rsid w:val="00BE69ED"/>
    <w:rsid w:val="00BE6C87"/>
    <w:rsid w:val="00BE6CED"/>
    <w:rsid w:val="00BE6E7E"/>
    <w:rsid w:val="00BE73B8"/>
    <w:rsid w:val="00BE75FB"/>
    <w:rsid w:val="00BE77B3"/>
    <w:rsid w:val="00BE7854"/>
    <w:rsid w:val="00BE7C22"/>
    <w:rsid w:val="00BE7F62"/>
    <w:rsid w:val="00BE7FF9"/>
    <w:rsid w:val="00BF01EC"/>
    <w:rsid w:val="00BF033B"/>
    <w:rsid w:val="00BF04B9"/>
    <w:rsid w:val="00BF04FA"/>
    <w:rsid w:val="00BF054C"/>
    <w:rsid w:val="00BF0A5B"/>
    <w:rsid w:val="00BF0BB8"/>
    <w:rsid w:val="00BF0C60"/>
    <w:rsid w:val="00BF0DB8"/>
    <w:rsid w:val="00BF1194"/>
    <w:rsid w:val="00BF13F3"/>
    <w:rsid w:val="00BF153C"/>
    <w:rsid w:val="00BF15EA"/>
    <w:rsid w:val="00BF177A"/>
    <w:rsid w:val="00BF1A5B"/>
    <w:rsid w:val="00BF1B90"/>
    <w:rsid w:val="00BF1FA5"/>
    <w:rsid w:val="00BF2025"/>
    <w:rsid w:val="00BF224C"/>
    <w:rsid w:val="00BF2301"/>
    <w:rsid w:val="00BF2462"/>
    <w:rsid w:val="00BF313B"/>
    <w:rsid w:val="00BF33E3"/>
    <w:rsid w:val="00BF344F"/>
    <w:rsid w:val="00BF3566"/>
    <w:rsid w:val="00BF3579"/>
    <w:rsid w:val="00BF36AB"/>
    <w:rsid w:val="00BF3779"/>
    <w:rsid w:val="00BF39F3"/>
    <w:rsid w:val="00BF3B42"/>
    <w:rsid w:val="00BF3C49"/>
    <w:rsid w:val="00BF3C7B"/>
    <w:rsid w:val="00BF3D9B"/>
    <w:rsid w:val="00BF410C"/>
    <w:rsid w:val="00BF410E"/>
    <w:rsid w:val="00BF4379"/>
    <w:rsid w:val="00BF447D"/>
    <w:rsid w:val="00BF46FD"/>
    <w:rsid w:val="00BF4708"/>
    <w:rsid w:val="00BF485A"/>
    <w:rsid w:val="00BF4B66"/>
    <w:rsid w:val="00BF4DAD"/>
    <w:rsid w:val="00BF4E3C"/>
    <w:rsid w:val="00BF50AF"/>
    <w:rsid w:val="00BF5117"/>
    <w:rsid w:val="00BF51E4"/>
    <w:rsid w:val="00BF524A"/>
    <w:rsid w:val="00BF55E4"/>
    <w:rsid w:val="00BF5DAC"/>
    <w:rsid w:val="00BF5E6E"/>
    <w:rsid w:val="00BF6036"/>
    <w:rsid w:val="00BF646A"/>
    <w:rsid w:val="00BF6CE6"/>
    <w:rsid w:val="00BF6F2F"/>
    <w:rsid w:val="00BF71CA"/>
    <w:rsid w:val="00BF750A"/>
    <w:rsid w:val="00BF752E"/>
    <w:rsid w:val="00BF7D55"/>
    <w:rsid w:val="00BF7D73"/>
    <w:rsid w:val="00BF7F06"/>
    <w:rsid w:val="00C007E9"/>
    <w:rsid w:val="00C0080C"/>
    <w:rsid w:val="00C00C8C"/>
    <w:rsid w:val="00C011C7"/>
    <w:rsid w:val="00C01220"/>
    <w:rsid w:val="00C01A1D"/>
    <w:rsid w:val="00C01A35"/>
    <w:rsid w:val="00C01A3F"/>
    <w:rsid w:val="00C01AA5"/>
    <w:rsid w:val="00C01B8B"/>
    <w:rsid w:val="00C024C5"/>
    <w:rsid w:val="00C02BD1"/>
    <w:rsid w:val="00C02C30"/>
    <w:rsid w:val="00C03192"/>
    <w:rsid w:val="00C03443"/>
    <w:rsid w:val="00C03912"/>
    <w:rsid w:val="00C03923"/>
    <w:rsid w:val="00C03961"/>
    <w:rsid w:val="00C03F0F"/>
    <w:rsid w:val="00C03F6B"/>
    <w:rsid w:val="00C043CF"/>
    <w:rsid w:val="00C048DF"/>
    <w:rsid w:val="00C04908"/>
    <w:rsid w:val="00C051ED"/>
    <w:rsid w:val="00C05375"/>
    <w:rsid w:val="00C0565B"/>
    <w:rsid w:val="00C0573E"/>
    <w:rsid w:val="00C05A60"/>
    <w:rsid w:val="00C05C65"/>
    <w:rsid w:val="00C05CDB"/>
    <w:rsid w:val="00C05E13"/>
    <w:rsid w:val="00C06008"/>
    <w:rsid w:val="00C0674C"/>
    <w:rsid w:val="00C067C6"/>
    <w:rsid w:val="00C0694A"/>
    <w:rsid w:val="00C06BFA"/>
    <w:rsid w:val="00C07598"/>
    <w:rsid w:val="00C07833"/>
    <w:rsid w:val="00C078DD"/>
    <w:rsid w:val="00C07968"/>
    <w:rsid w:val="00C10511"/>
    <w:rsid w:val="00C10881"/>
    <w:rsid w:val="00C10C8C"/>
    <w:rsid w:val="00C10F09"/>
    <w:rsid w:val="00C10F9E"/>
    <w:rsid w:val="00C10FB2"/>
    <w:rsid w:val="00C1127B"/>
    <w:rsid w:val="00C113F0"/>
    <w:rsid w:val="00C11578"/>
    <w:rsid w:val="00C11830"/>
    <w:rsid w:val="00C11CCC"/>
    <w:rsid w:val="00C11CCE"/>
    <w:rsid w:val="00C11FB1"/>
    <w:rsid w:val="00C120DA"/>
    <w:rsid w:val="00C1235F"/>
    <w:rsid w:val="00C125A7"/>
    <w:rsid w:val="00C126BF"/>
    <w:rsid w:val="00C12A1E"/>
    <w:rsid w:val="00C12F88"/>
    <w:rsid w:val="00C13089"/>
    <w:rsid w:val="00C13172"/>
    <w:rsid w:val="00C134C7"/>
    <w:rsid w:val="00C135D4"/>
    <w:rsid w:val="00C136A1"/>
    <w:rsid w:val="00C13713"/>
    <w:rsid w:val="00C13F92"/>
    <w:rsid w:val="00C14026"/>
    <w:rsid w:val="00C14A49"/>
    <w:rsid w:val="00C14A4E"/>
    <w:rsid w:val="00C14ED2"/>
    <w:rsid w:val="00C150C8"/>
    <w:rsid w:val="00C150D8"/>
    <w:rsid w:val="00C1562A"/>
    <w:rsid w:val="00C156ED"/>
    <w:rsid w:val="00C1579C"/>
    <w:rsid w:val="00C158A9"/>
    <w:rsid w:val="00C1612B"/>
    <w:rsid w:val="00C161BA"/>
    <w:rsid w:val="00C162F6"/>
    <w:rsid w:val="00C16852"/>
    <w:rsid w:val="00C169B6"/>
    <w:rsid w:val="00C16A13"/>
    <w:rsid w:val="00C16A1B"/>
    <w:rsid w:val="00C16B28"/>
    <w:rsid w:val="00C16BDF"/>
    <w:rsid w:val="00C1742D"/>
    <w:rsid w:val="00C1760E"/>
    <w:rsid w:val="00C17969"/>
    <w:rsid w:val="00C179CB"/>
    <w:rsid w:val="00C17A47"/>
    <w:rsid w:val="00C17AE8"/>
    <w:rsid w:val="00C17E2A"/>
    <w:rsid w:val="00C17F02"/>
    <w:rsid w:val="00C2050F"/>
    <w:rsid w:val="00C205A2"/>
    <w:rsid w:val="00C206CB"/>
    <w:rsid w:val="00C20725"/>
    <w:rsid w:val="00C2075B"/>
    <w:rsid w:val="00C20858"/>
    <w:rsid w:val="00C20866"/>
    <w:rsid w:val="00C20B65"/>
    <w:rsid w:val="00C20BA4"/>
    <w:rsid w:val="00C20D91"/>
    <w:rsid w:val="00C20ED9"/>
    <w:rsid w:val="00C20FA5"/>
    <w:rsid w:val="00C21599"/>
    <w:rsid w:val="00C215F0"/>
    <w:rsid w:val="00C216F8"/>
    <w:rsid w:val="00C217EB"/>
    <w:rsid w:val="00C218FC"/>
    <w:rsid w:val="00C21D9D"/>
    <w:rsid w:val="00C21F62"/>
    <w:rsid w:val="00C2211D"/>
    <w:rsid w:val="00C22179"/>
    <w:rsid w:val="00C22279"/>
    <w:rsid w:val="00C22938"/>
    <w:rsid w:val="00C22AFD"/>
    <w:rsid w:val="00C22F7D"/>
    <w:rsid w:val="00C23053"/>
    <w:rsid w:val="00C237F8"/>
    <w:rsid w:val="00C23890"/>
    <w:rsid w:val="00C23B21"/>
    <w:rsid w:val="00C242E2"/>
    <w:rsid w:val="00C24590"/>
    <w:rsid w:val="00C24721"/>
    <w:rsid w:val="00C2474A"/>
    <w:rsid w:val="00C24C54"/>
    <w:rsid w:val="00C24C78"/>
    <w:rsid w:val="00C24FBB"/>
    <w:rsid w:val="00C257B4"/>
    <w:rsid w:val="00C25C78"/>
    <w:rsid w:val="00C25CBB"/>
    <w:rsid w:val="00C25F40"/>
    <w:rsid w:val="00C2674C"/>
    <w:rsid w:val="00C26795"/>
    <w:rsid w:val="00C267BF"/>
    <w:rsid w:val="00C26C29"/>
    <w:rsid w:val="00C26E8E"/>
    <w:rsid w:val="00C270F6"/>
    <w:rsid w:val="00C27237"/>
    <w:rsid w:val="00C27628"/>
    <w:rsid w:val="00C276AD"/>
    <w:rsid w:val="00C27827"/>
    <w:rsid w:val="00C278CB"/>
    <w:rsid w:val="00C27B9B"/>
    <w:rsid w:val="00C27F78"/>
    <w:rsid w:val="00C27F8A"/>
    <w:rsid w:val="00C302CA"/>
    <w:rsid w:val="00C3055C"/>
    <w:rsid w:val="00C3065B"/>
    <w:rsid w:val="00C30784"/>
    <w:rsid w:val="00C30855"/>
    <w:rsid w:val="00C30D56"/>
    <w:rsid w:val="00C3105A"/>
    <w:rsid w:val="00C313C7"/>
    <w:rsid w:val="00C31A3A"/>
    <w:rsid w:val="00C31D36"/>
    <w:rsid w:val="00C32080"/>
    <w:rsid w:val="00C3221E"/>
    <w:rsid w:val="00C32A06"/>
    <w:rsid w:val="00C32E46"/>
    <w:rsid w:val="00C33116"/>
    <w:rsid w:val="00C3376D"/>
    <w:rsid w:val="00C33913"/>
    <w:rsid w:val="00C33AE9"/>
    <w:rsid w:val="00C33B2A"/>
    <w:rsid w:val="00C33BAD"/>
    <w:rsid w:val="00C33BEA"/>
    <w:rsid w:val="00C341B5"/>
    <w:rsid w:val="00C341F6"/>
    <w:rsid w:val="00C342A5"/>
    <w:rsid w:val="00C346AE"/>
    <w:rsid w:val="00C3478D"/>
    <w:rsid w:val="00C34997"/>
    <w:rsid w:val="00C349B5"/>
    <w:rsid w:val="00C34BAC"/>
    <w:rsid w:val="00C34EE0"/>
    <w:rsid w:val="00C34EFA"/>
    <w:rsid w:val="00C34F65"/>
    <w:rsid w:val="00C352DE"/>
    <w:rsid w:val="00C3535A"/>
    <w:rsid w:val="00C35760"/>
    <w:rsid w:val="00C359DA"/>
    <w:rsid w:val="00C35F04"/>
    <w:rsid w:val="00C36126"/>
    <w:rsid w:val="00C36284"/>
    <w:rsid w:val="00C364C2"/>
    <w:rsid w:val="00C3680E"/>
    <w:rsid w:val="00C36ADF"/>
    <w:rsid w:val="00C36EC4"/>
    <w:rsid w:val="00C3726B"/>
    <w:rsid w:val="00C375FD"/>
    <w:rsid w:val="00C37895"/>
    <w:rsid w:val="00C3789A"/>
    <w:rsid w:val="00C37F88"/>
    <w:rsid w:val="00C37FDD"/>
    <w:rsid w:val="00C4006E"/>
    <w:rsid w:val="00C40282"/>
    <w:rsid w:val="00C403C8"/>
    <w:rsid w:val="00C4053D"/>
    <w:rsid w:val="00C4091C"/>
    <w:rsid w:val="00C40AD4"/>
    <w:rsid w:val="00C40B09"/>
    <w:rsid w:val="00C4116E"/>
    <w:rsid w:val="00C41441"/>
    <w:rsid w:val="00C419D8"/>
    <w:rsid w:val="00C41AE5"/>
    <w:rsid w:val="00C41B6C"/>
    <w:rsid w:val="00C41B7F"/>
    <w:rsid w:val="00C41C4A"/>
    <w:rsid w:val="00C41DC9"/>
    <w:rsid w:val="00C42016"/>
    <w:rsid w:val="00C428F8"/>
    <w:rsid w:val="00C42CCF"/>
    <w:rsid w:val="00C42DBB"/>
    <w:rsid w:val="00C431B3"/>
    <w:rsid w:val="00C43207"/>
    <w:rsid w:val="00C435E8"/>
    <w:rsid w:val="00C4379C"/>
    <w:rsid w:val="00C43B57"/>
    <w:rsid w:val="00C43F52"/>
    <w:rsid w:val="00C44280"/>
    <w:rsid w:val="00C443EB"/>
    <w:rsid w:val="00C446C6"/>
    <w:rsid w:val="00C449BF"/>
    <w:rsid w:val="00C44DFC"/>
    <w:rsid w:val="00C45062"/>
    <w:rsid w:val="00C451B5"/>
    <w:rsid w:val="00C45927"/>
    <w:rsid w:val="00C45A1A"/>
    <w:rsid w:val="00C45B22"/>
    <w:rsid w:val="00C45C92"/>
    <w:rsid w:val="00C4609B"/>
    <w:rsid w:val="00C4631E"/>
    <w:rsid w:val="00C46497"/>
    <w:rsid w:val="00C464A8"/>
    <w:rsid w:val="00C464BD"/>
    <w:rsid w:val="00C46629"/>
    <w:rsid w:val="00C468A2"/>
    <w:rsid w:val="00C4697D"/>
    <w:rsid w:val="00C469A8"/>
    <w:rsid w:val="00C46A9B"/>
    <w:rsid w:val="00C46BC9"/>
    <w:rsid w:val="00C470AE"/>
    <w:rsid w:val="00C47463"/>
    <w:rsid w:val="00C478D0"/>
    <w:rsid w:val="00C479B6"/>
    <w:rsid w:val="00C47BDC"/>
    <w:rsid w:val="00C47D0A"/>
    <w:rsid w:val="00C47D87"/>
    <w:rsid w:val="00C47E1A"/>
    <w:rsid w:val="00C47FC3"/>
    <w:rsid w:val="00C50214"/>
    <w:rsid w:val="00C50262"/>
    <w:rsid w:val="00C50390"/>
    <w:rsid w:val="00C504D7"/>
    <w:rsid w:val="00C50961"/>
    <w:rsid w:val="00C511FF"/>
    <w:rsid w:val="00C517E6"/>
    <w:rsid w:val="00C51AB8"/>
    <w:rsid w:val="00C51B1F"/>
    <w:rsid w:val="00C51BD6"/>
    <w:rsid w:val="00C51D97"/>
    <w:rsid w:val="00C5245B"/>
    <w:rsid w:val="00C52567"/>
    <w:rsid w:val="00C526D3"/>
    <w:rsid w:val="00C52740"/>
    <w:rsid w:val="00C5293E"/>
    <w:rsid w:val="00C5296C"/>
    <w:rsid w:val="00C52B00"/>
    <w:rsid w:val="00C52F80"/>
    <w:rsid w:val="00C530D4"/>
    <w:rsid w:val="00C53109"/>
    <w:rsid w:val="00C5360D"/>
    <w:rsid w:val="00C53625"/>
    <w:rsid w:val="00C53A9F"/>
    <w:rsid w:val="00C53C02"/>
    <w:rsid w:val="00C53CF7"/>
    <w:rsid w:val="00C53FC2"/>
    <w:rsid w:val="00C54213"/>
    <w:rsid w:val="00C54460"/>
    <w:rsid w:val="00C5449F"/>
    <w:rsid w:val="00C54555"/>
    <w:rsid w:val="00C548BF"/>
    <w:rsid w:val="00C54926"/>
    <w:rsid w:val="00C54E8A"/>
    <w:rsid w:val="00C55077"/>
    <w:rsid w:val="00C554A6"/>
    <w:rsid w:val="00C556ED"/>
    <w:rsid w:val="00C55A9E"/>
    <w:rsid w:val="00C55D23"/>
    <w:rsid w:val="00C56228"/>
    <w:rsid w:val="00C566F4"/>
    <w:rsid w:val="00C56D13"/>
    <w:rsid w:val="00C56E87"/>
    <w:rsid w:val="00C571A5"/>
    <w:rsid w:val="00C57209"/>
    <w:rsid w:val="00C5727F"/>
    <w:rsid w:val="00C5732D"/>
    <w:rsid w:val="00C57580"/>
    <w:rsid w:val="00C57917"/>
    <w:rsid w:val="00C57B46"/>
    <w:rsid w:val="00C57C9F"/>
    <w:rsid w:val="00C57D33"/>
    <w:rsid w:val="00C57D50"/>
    <w:rsid w:val="00C57F06"/>
    <w:rsid w:val="00C60483"/>
    <w:rsid w:val="00C604A7"/>
    <w:rsid w:val="00C604E5"/>
    <w:rsid w:val="00C60500"/>
    <w:rsid w:val="00C6053A"/>
    <w:rsid w:val="00C605BA"/>
    <w:rsid w:val="00C60610"/>
    <w:rsid w:val="00C60736"/>
    <w:rsid w:val="00C60847"/>
    <w:rsid w:val="00C60D92"/>
    <w:rsid w:val="00C60F63"/>
    <w:rsid w:val="00C610D2"/>
    <w:rsid w:val="00C61289"/>
    <w:rsid w:val="00C6149D"/>
    <w:rsid w:val="00C6149E"/>
    <w:rsid w:val="00C61981"/>
    <w:rsid w:val="00C61C6D"/>
    <w:rsid w:val="00C61CB7"/>
    <w:rsid w:val="00C61D05"/>
    <w:rsid w:val="00C620A0"/>
    <w:rsid w:val="00C621DF"/>
    <w:rsid w:val="00C622DB"/>
    <w:rsid w:val="00C6234D"/>
    <w:rsid w:val="00C6247D"/>
    <w:rsid w:val="00C62512"/>
    <w:rsid w:val="00C62AE5"/>
    <w:rsid w:val="00C62D5E"/>
    <w:rsid w:val="00C630B1"/>
    <w:rsid w:val="00C63164"/>
    <w:rsid w:val="00C6318D"/>
    <w:rsid w:val="00C631C0"/>
    <w:rsid w:val="00C6331A"/>
    <w:rsid w:val="00C639D9"/>
    <w:rsid w:val="00C639ED"/>
    <w:rsid w:val="00C63BE0"/>
    <w:rsid w:val="00C63C2B"/>
    <w:rsid w:val="00C63CCA"/>
    <w:rsid w:val="00C6405A"/>
    <w:rsid w:val="00C64351"/>
    <w:rsid w:val="00C6469B"/>
    <w:rsid w:val="00C64FE0"/>
    <w:rsid w:val="00C65022"/>
    <w:rsid w:val="00C651B6"/>
    <w:rsid w:val="00C65561"/>
    <w:rsid w:val="00C65684"/>
    <w:rsid w:val="00C657D8"/>
    <w:rsid w:val="00C658C9"/>
    <w:rsid w:val="00C65A34"/>
    <w:rsid w:val="00C65C73"/>
    <w:rsid w:val="00C65D7D"/>
    <w:rsid w:val="00C662E1"/>
    <w:rsid w:val="00C666AB"/>
    <w:rsid w:val="00C666BC"/>
    <w:rsid w:val="00C66926"/>
    <w:rsid w:val="00C66EFC"/>
    <w:rsid w:val="00C66F33"/>
    <w:rsid w:val="00C66F46"/>
    <w:rsid w:val="00C67962"/>
    <w:rsid w:val="00C67A36"/>
    <w:rsid w:val="00C67BAF"/>
    <w:rsid w:val="00C67E09"/>
    <w:rsid w:val="00C7088A"/>
    <w:rsid w:val="00C70E5F"/>
    <w:rsid w:val="00C7108F"/>
    <w:rsid w:val="00C713C4"/>
    <w:rsid w:val="00C719D5"/>
    <w:rsid w:val="00C71C4B"/>
    <w:rsid w:val="00C720C7"/>
    <w:rsid w:val="00C7221C"/>
    <w:rsid w:val="00C72295"/>
    <w:rsid w:val="00C72889"/>
    <w:rsid w:val="00C72952"/>
    <w:rsid w:val="00C72C2E"/>
    <w:rsid w:val="00C72E82"/>
    <w:rsid w:val="00C72EAE"/>
    <w:rsid w:val="00C73185"/>
    <w:rsid w:val="00C73441"/>
    <w:rsid w:val="00C7345D"/>
    <w:rsid w:val="00C73686"/>
    <w:rsid w:val="00C7393C"/>
    <w:rsid w:val="00C7397A"/>
    <w:rsid w:val="00C73BE6"/>
    <w:rsid w:val="00C73FF8"/>
    <w:rsid w:val="00C743A1"/>
    <w:rsid w:val="00C743CE"/>
    <w:rsid w:val="00C7450F"/>
    <w:rsid w:val="00C745FF"/>
    <w:rsid w:val="00C747C1"/>
    <w:rsid w:val="00C74A0B"/>
    <w:rsid w:val="00C74BE6"/>
    <w:rsid w:val="00C74D44"/>
    <w:rsid w:val="00C74E45"/>
    <w:rsid w:val="00C74E67"/>
    <w:rsid w:val="00C74F89"/>
    <w:rsid w:val="00C74FEA"/>
    <w:rsid w:val="00C751AA"/>
    <w:rsid w:val="00C754B0"/>
    <w:rsid w:val="00C75825"/>
    <w:rsid w:val="00C75DCA"/>
    <w:rsid w:val="00C75E46"/>
    <w:rsid w:val="00C76635"/>
    <w:rsid w:val="00C76829"/>
    <w:rsid w:val="00C76D65"/>
    <w:rsid w:val="00C76D8D"/>
    <w:rsid w:val="00C77495"/>
    <w:rsid w:val="00C77715"/>
    <w:rsid w:val="00C77C2F"/>
    <w:rsid w:val="00C77C46"/>
    <w:rsid w:val="00C77D0F"/>
    <w:rsid w:val="00C80032"/>
    <w:rsid w:val="00C8009A"/>
    <w:rsid w:val="00C80200"/>
    <w:rsid w:val="00C80458"/>
    <w:rsid w:val="00C804AD"/>
    <w:rsid w:val="00C80569"/>
    <w:rsid w:val="00C8072B"/>
    <w:rsid w:val="00C8095D"/>
    <w:rsid w:val="00C809B1"/>
    <w:rsid w:val="00C80B0B"/>
    <w:rsid w:val="00C80D81"/>
    <w:rsid w:val="00C80EC6"/>
    <w:rsid w:val="00C811DA"/>
    <w:rsid w:val="00C814AA"/>
    <w:rsid w:val="00C81529"/>
    <w:rsid w:val="00C81808"/>
    <w:rsid w:val="00C8195E"/>
    <w:rsid w:val="00C81BAB"/>
    <w:rsid w:val="00C81D61"/>
    <w:rsid w:val="00C81F3D"/>
    <w:rsid w:val="00C822C4"/>
    <w:rsid w:val="00C8243E"/>
    <w:rsid w:val="00C82662"/>
    <w:rsid w:val="00C82B6C"/>
    <w:rsid w:val="00C82C4A"/>
    <w:rsid w:val="00C82CE2"/>
    <w:rsid w:val="00C830A4"/>
    <w:rsid w:val="00C83110"/>
    <w:rsid w:val="00C831E7"/>
    <w:rsid w:val="00C832D3"/>
    <w:rsid w:val="00C8331C"/>
    <w:rsid w:val="00C83370"/>
    <w:rsid w:val="00C835BB"/>
    <w:rsid w:val="00C83A9F"/>
    <w:rsid w:val="00C83C98"/>
    <w:rsid w:val="00C83F00"/>
    <w:rsid w:val="00C84107"/>
    <w:rsid w:val="00C84160"/>
    <w:rsid w:val="00C84282"/>
    <w:rsid w:val="00C84716"/>
    <w:rsid w:val="00C84769"/>
    <w:rsid w:val="00C84C77"/>
    <w:rsid w:val="00C84C81"/>
    <w:rsid w:val="00C84D13"/>
    <w:rsid w:val="00C85258"/>
    <w:rsid w:val="00C855F9"/>
    <w:rsid w:val="00C85951"/>
    <w:rsid w:val="00C8595F"/>
    <w:rsid w:val="00C85D46"/>
    <w:rsid w:val="00C85E0C"/>
    <w:rsid w:val="00C85FAD"/>
    <w:rsid w:val="00C860F5"/>
    <w:rsid w:val="00C86316"/>
    <w:rsid w:val="00C86515"/>
    <w:rsid w:val="00C86783"/>
    <w:rsid w:val="00C868B7"/>
    <w:rsid w:val="00C86A0D"/>
    <w:rsid w:val="00C86E9C"/>
    <w:rsid w:val="00C872A5"/>
    <w:rsid w:val="00C872CA"/>
    <w:rsid w:val="00C87A41"/>
    <w:rsid w:val="00C87ADE"/>
    <w:rsid w:val="00C87B94"/>
    <w:rsid w:val="00C87CA4"/>
    <w:rsid w:val="00C87CC5"/>
    <w:rsid w:val="00C87D5A"/>
    <w:rsid w:val="00C87E0B"/>
    <w:rsid w:val="00C9050C"/>
    <w:rsid w:val="00C90522"/>
    <w:rsid w:val="00C9055B"/>
    <w:rsid w:val="00C90746"/>
    <w:rsid w:val="00C90AF6"/>
    <w:rsid w:val="00C90B78"/>
    <w:rsid w:val="00C90B7C"/>
    <w:rsid w:val="00C90BC9"/>
    <w:rsid w:val="00C90D62"/>
    <w:rsid w:val="00C90E61"/>
    <w:rsid w:val="00C910E5"/>
    <w:rsid w:val="00C9152D"/>
    <w:rsid w:val="00C9182D"/>
    <w:rsid w:val="00C91AFE"/>
    <w:rsid w:val="00C91F75"/>
    <w:rsid w:val="00C921D3"/>
    <w:rsid w:val="00C923F0"/>
    <w:rsid w:val="00C92794"/>
    <w:rsid w:val="00C92C7E"/>
    <w:rsid w:val="00C92CA9"/>
    <w:rsid w:val="00C92D53"/>
    <w:rsid w:val="00C93276"/>
    <w:rsid w:val="00C93370"/>
    <w:rsid w:val="00C93530"/>
    <w:rsid w:val="00C93612"/>
    <w:rsid w:val="00C938BA"/>
    <w:rsid w:val="00C9390D"/>
    <w:rsid w:val="00C93C4A"/>
    <w:rsid w:val="00C93C63"/>
    <w:rsid w:val="00C93E2C"/>
    <w:rsid w:val="00C94260"/>
    <w:rsid w:val="00C944A5"/>
    <w:rsid w:val="00C94605"/>
    <w:rsid w:val="00C9486E"/>
    <w:rsid w:val="00C9494B"/>
    <w:rsid w:val="00C94A3A"/>
    <w:rsid w:val="00C94A3B"/>
    <w:rsid w:val="00C95335"/>
    <w:rsid w:val="00C953DB"/>
    <w:rsid w:val="00C955E4"/>
    <w:rsid w:val="00C95999"/>
    <w:rsid w:val="00C95BD7"/>
    <w:rsid w:val="00C95EAD"/>
    <w:rsid w:val="00C960C0"/>
    <w:rsid w:val="00C964B6"/>
    <w:rsid w:val="00C96A4A"/>
    <w:rsid w:val="00C96BF9"/>
    <w:rsid w:val="00C96C6E"/>
    <w:rsid w:val="00C96E5D"/>
    <w:rsid w:val="00C96EC5"/>
    <w:rsid w:val="00C970B4"/>
    <w:rsid w:val="00C97477"/>
    <w:rsid w:val="00C97539"/>
    <w:rsid w:val="00C97755"/>
    <w:rsid w:val="00C97760"/>
    <w:rsid w:val="00C977C9"/>
    <w:rsid w:val="00C978B1"/>
    <w:rsid w:val="00C97D57"/>
    <w:rsid w:val="00C97DEE"/>
    <w:rsid w:val="00CA0009"/>
    <w:rsid w:val="00CA0022"/>
    <w:rsid w:val="00CA015C"/>
    <w:rsid w:val="00CA04D0"/>
    <w:rsid w:val="00CA0516"/>
    <w:rsid w:val="00CA0823"/>
    <w:rsid w:val="00CA08A0"/>
    <w:rsid w:val="00CA0A7B"/>
    <w:rsid w:val="00CA0ACA"/>
    <w:rsid w:val="00CA0B2A"/>
    <w:rsid w:val="00CA10AC"/>
    <w:rsid w:val="00CA121C"/>
    <w:rsid w:val="00CA1801"/>
    <w:rsid w:val="00CA1DA0"/>
    <w:rsid w:val="00CA1DEF"/>
    <w:rsid w:val="00CA1DF3"/>
    <w:rsid w:val="00CA1E03"/>
    <w:rsid w:val="00CA1F08"/>
    <w:rsid w:val="00CA2197"/>
    <w:rsid w:val="00CA2371"/>
    <w:rsid w:val="00CA27C4"/>
    <w:rsid w:val="00CA27E7"/>
    <w:rsid w:val="00CA3208"/>
    <w:rsid w:val="00CA36A2"/>
    <w:rsid w:val="00CA3970"/>
    <w:rsid w:val="00CA3B0F"/>
    <w:rsid w:val="00CA4032"/>
    <w:rsid w:val="00CA40DF"/>
    <w:rsid w:val="00CA4769"/>
    <w:rsid w:val="00CA4878"/>
    <w:rsid w:val="00CA4A37"/>
    <w:rsid w:val="00CA4C09"/>
    <w:rsid w:val="00CA4EDE"/>
    <w:rsid w:val="00CA4F17"/>
    <w:rsid w:val="00CA5338"/>
    <w:rsid w:val="00CA53AA"/>
    <w:rsid w:val="00CA5A50"/>
    <w:rsid w:val="00CA5AE8"/>
    <w:rsid w:val="00CA5F00"/>
    <w:rsid w:val="00CA5FA4"/>
    <w:rsid w:val="00CA5FE0"/>
    <w:rsid w:val="00CA61AA"/>
    <w:rsid w:val="00CA625E"/>
    <w:rsid w:val="00CA63D2"/>
    <w:rsid w:val="00CA6784"/>
    <w:rsid w:val="00CA69A1"/>
    <w:rsid w:val="00CA6ACA"/>
    <w:rsid w:val="00CA6D88"/>
    <w:rsid w:val="00CA7032"/>
    <w:rsid w:val="00CA713C"/>
    <w:rsid w:val="00CA775B"/>
    <w:rsid w:val="00CA780E"/>
    <w:rsid w:val="00CB01EB"/>
    <w:rsid w:val="00CB04F1"/>
    <w:rsid w:val="00CB0576"/>
    <w:rsid w:val="00CB0898"/>
    <w:rsid w:val="00CB08A9"/>
    <w:rsid w:val="00CB0A06"/>
    <w:rsid w:val="00CB0CBD"/>
    <w:rsid w:val="00CB0F0D"/>
    <w:rsid w:val="00CB13D3"/>
    <w:rsid w:val="00CB1689"/>
    <w:rsid w:val="00CB18B3"/>
    <w:rsid w:val="00CB1DB8"/>
    <w:rsid w:val="00CB2602"/>
    <w:rsid w:val="00CB2778"/>
    <w:rsid w:val="00CB2ADF"/>
    <w:rsid w:val="00CB2E2A"/>
    <w:rsid w:val="00CB2FF2"/>
    <w:rsid w:val="00CB33C1"/>
    <w:rsid w:val="00CB3407"/>
    <w:rsid w:val="00CB347E"/>
    <w:rsid w:val="00CB390C"/>
    <w:rsid w:val="00CB3CEC"/>
    <w:rsid w:val="00CB4081"/>
    <w:rsid w:val="00CB4D31"/>
    <w:rsid w:val="00CB4E4F"/>
    <w:rsid w:val="00CB4EE2"/>
    <w:rsid w:val="00CB4F6F"/>
    <w:rsid w:val="00CB4FCF"/>
    <w:rsid w:val="00CB5027"/>
    <w:rsid w:val="00CB5201"/>
    <w:rsid w:val="00CB5767"/>
    <w:rsid w:val="00CB57DA"/>
    <w:rsid w:val="00CB58B8"/>
    <w:rsid w:val="00CB5B9E"/>
    <w:rsid w:val="00CB5BDB"/>
    <w:rsid w:val="00CB5D70"/>
    <w:rsid w:val="00CB5E02"/>
    <w:rsid w:val="00CB5E68"/>
    <w:rsid w:val="00CB605B"/>
    <w:rsid w:val="00CB621C"/>
    <w:rsid w:val="00CB696E"/>
    <w:rsid w:val="00CB70F4"/>
    <w:rsid w:val="00CB71A9"/>
    <w:rsid w:val="00CB7404"/>
    <w:rsid w:val="00CB7430"/>
    <w:rsid w:val="00CB790D"/>
    <w:rsid w:val="00CB797A"/>
    <w:rsid w:val="00CB7B2A"/>
    <w:rsid w:val="00CB7C55"/>
    <w:rsid w:val="00CC000B"/>
    <w:rsid w:val="00CC0243"/>
    <w:rsid w:val="00CC0404"/>
    <w:rsid w:val="00CC054C"/>
    <w:rsid w:val="00CC0563"/>
    <w:rsid w:val="00CC05A0"/>
    <w:rsid w:val="00CC068D"/>
    <w:rsid w:val="00CC0A1D"/>
    <w:rsid w:val="00CC0A9B"/>
    <w:rsid w:val="00CC0B4A"/>
    <w:rsid w:val="00CC0FFD"/>
    <w:rsid w:val="00CC105F"/>
    <w:rsid w:val="00CC116E"/>
    <w:rsid w:val="00CC120E"/>
    <w:rsid w:val="00CC133C"/>
    <w:rsid w:val="00CC1560"/>
    <w:rsid w:val="00CC16E6"/>
    <w:rsid w:val="00CC19C9"/>
    <w:rsid w:val="00CC1A82"/>
    <w:rsid w:val="00CC1A8D"/>
    <w:rsid w:val="00CC1FAD"/>
    <w:rsid w:val="00CC215C"/>
    <w:rsid w:val="00CC21D2"/>
    <w:rsid w:val="00CC2263"/>
    <w:rsid w:val="00CC245C"/>
    <w:rsid w:val="00CC29D4"/>
    <w:rsid w:val="00CC2C2C"/>
    <w:rsid w:val="00CC2C53"/>
    <w:rsid w:val="00CC2CE4"/>
    <w:rsid w:val="00CC2F52"/>
    <w:rsid w:val="00CC30E6"/>
    <w:rsid w:val="00CC31D1"/>
    <w:rsid w:val="00CC33B3"/>
    <w:rsid w:val="00CC341A"/>
    <w:rsid w:val="00CC37A7"/>
    <w:rsid w:val="00CC3968"/>
    <w:rsid w:val="00CC3A24"/>
    <w:rsid w:val="00CC3C57"/>
    <w:rsid w:val="00CC3D65"/>
    <w:rsid w:val="00CC3E18"/>
    <w:rsid w:val="00CC3E21"/>
    <w:rsid w:val="00CC3FF2"/>
    <w:rsid w:val="00CC469F"/>
    <w:rsid w:val="00CC4C35"/>
    <w:rsid w:val="00CC4DBF"/>
    <w:rsid w:val="00CC55B9"/>
    <w:rsid w:val="00CC589A"/>
    <w:rsid w:val="00CC58C6"/>
    <w:rsid w:val="00CC5AD6"/>
    <w:rsid w:val="00CC5CCD"/>
    <w:rsid w:val="00CC6359"/>
    <w:rsid w:val="00CC6377"/>
    <w:rsid w:val="00CC64CF"/>
    <w:rsid w:val="00CC6571"/>
    <w:rsid w:val="00CC6576"/>
    <w:rsid w:val="00CC6E04"/>
    <w:rsid w:val="00CC6E36"/>
    <w:rsid w:val="00CC6E8E"/>
    <w:rsid w:val="00CC6F86"/>
    <w:rsid w:val="00CC75AC"/>
    <w:rsid w:val="00CC7644"/>
    <w:rsid w:val="00CC76EB"/>
    <w:rsid w:val="00CC77CA"/>
    <w:rsid w:val="00CC7A07"/>
    <w:rsid w:val="00CC7A2D"/>
    <w:rsid w:val="00CC7C3F"/>
    <w:rsid w:val="00CC7C71"/>
    <w:rsid w:val="00CD0157"/>
    <w:rsid w:val="00CD01FF"/>
    <w:rsid w:val="00CD03A2"/>
    <w:rsid w:val="00CD0545"/>
    <w:rsid w:val="00CD058C"/>
    <w:rsid w:val="00CD084D"/>
    <w:rsid w:val="00CD0E8A"/>
    <w:rsid w:val="00CD0ECF"/>
    <w:rsid w:val="00CD0FF0"/>
    <w:rsid w:val="00CD1171"/>
    <w:rsid w:val="00CD14B5"/>
    <w:rsid w:val="00CD159E"/>
    <w:rsid w:val="00CD1922"/>
    <w:rsid w:val="00CD1AE8"/>
    <w:rsid w:val="00CD1DEA"/>
    <w:rsid w:val="00CD266A"/>
    <w:rsid w:val="00CD2A5D"/>
    <w:rsid w:val="00CD2AB9"/>
    <w:rsid w:val="00CD2B75"/>
    <w:rsid w:val="00CD2C91"/>
    <w:rsid w:val="00CD2ED2"/>
    <w:rsid w:val="00CD2F05"/>
    <w:rsid w:val="00CD2FFB"/>
    <w:rsid w:val="00CD3660"/>
    <w:rsid w:val="00CD3821"/>
    <w:rsid w:val="00CD3A8F"/>
    <w:rsid w:val="00CD3EA3"/>
    <w:rsid w:val="00CD41EF"/>
    <w:rsid w:val="00CD48AD"/>
    <w:rsid w:val="00CD4F7E"/>
    <w:rsid w:val="00CD5310"/>
    <w:rsid w:val="00CD54E3"/>
    <w:rsid w:val="00CD5690"/>
    <w:rsid w:val="00CD573A"/>
    <w:rsid w:val="00CD5777"/>
    <w:rsid w:val="00CD5782"/>
    <w:rsid w:val="00CD5AC0"/>
    <w:rsid w:val="00CD5FE3"/>
    <w:rsid w:val="00CD678A"/>
    <w:rsid w:val="00CD681A"/>
    <w:rsid w:val="00CD6CC2"/>
    <w:rsid w:val="00CD6CCF"/>
    <w:rsid w:val="00CD6ECF"/>
    <w:rsid w:val="00CD706F"/>
    <w:rsid w:val="00CD7177"/>
    <w:rsid w:val="00CD730E"/>
    <w:rsid w:val="00CD74AD"/>
    <w:rsid w:val="00CD751A"/>
    <w:rsid w:val="00CD761C"/>
    <w:rsid w:val="00CD7890"/>
    <w:rsid w:val="00CE0172"/>
    <w:rsid w:val="00CE0CD3"/>
    <w:rsid w:val="00CE0F63"/>
    <w:rsid w:val="00CE16E1"/>
    <w:rsid w:val="00CE17A9"/>
    <w:rsid w:val="00CE1DF5"/>
    <w:rsid w:val="00CE1F66"/>
    <w:rsid w:val="00CE1FAB"/>
    <w:rsid w:val="00CE1FF7"/>
    <w:rsid w:val="00CE2012"/>
    <w:rsid w:val="00CE219A"/>
    <w:rsid w:val="00CE27C6"/>
    <w:rsid w:val="00CE2AF8"/>
    <w:rsid w:val="00CE2B49"/>
    <w:rsid w:val="00CE2BCF"/>
    <w:rsid w:val="00CE2C74"/>
    <w:rsid w:val="00CE2CA8"/>
    <w:rsid w:val="00CE2EB6"/>
    <w:rsid w:val="00CE3023"/>
    <w:rsid w:val="00CE30B8"/>
    <w:rsid w:val="00CE313B"/>
    <w:rsid w:val="00CE3296"/>
    <w:rsid w:val="00CE3662"/>
    <w:rsid w:val="00CE3860"/>
    <w:rsid w:val="00CE3965"/>
    <w:rsid w:val="00CE39E8"/>
    <w:rsid w:val="00CE3A9F"/>
    <w:rsid w:val="00CE4899"/>
    <w:rsid w:val="00CE4B4D"/>
    <w:rsid w:val="00CE4D2D"/>
    <w:rsid w:val="00CE4D6C"/>
    <w:rsid w:val="00CE4E4E"/>
    <w:rsid w:val="00CE4F35"/>
    <w:rsid w:val="00CE50E2"/>
    <w:rsid w:val="00CE557A"/>
    <w:rsid w:val="00CE5970"/>
    <w:rsid w:val="00CE5B55"/>
    <w:rsid w:val="00CE5C85"/>
    <w:rsid w:val="00CE5D5C"/>
    <w:rsid w:val="00CE5E4A"/>
    <w:rsid w:val="00CE5EF8"/>
    <w:rsid w:val="00CE60E3"/>
    <w:rsid w:val="00CE62A5"/>
    <w:rsid w:val="00CE6654"/>
    <w:rsid w:val="00CE6756"/>
    <w:rsid w:val="00CE6847"/>
    <w:rsid w:val="00CE68AD"/>
    <w:rsid w:val="00CE6A27"/>
    <w:rsid w:val="00CE6B44"/>
    <w:rsid w:val="00CE6D94"/>
    <w:rsid w:val="00CE6E11"/>
    <w:rsid w:val="00CE6E3C"/>
    <w:rsid w:val="00CE7050"/>
    <w:rsid w:val="00CE732E"/>
    <w:rsid w:val="00CE754C"/>
    <w:rsid w:val="00CE7744"/>
    <w:rsid w:val="00CE79EA"/>
    <w:rsid w:val="00CE7B60"/>
    <w:rsid w:val="00CE7D01"/>
    <w:rsid w:val="00CE7E1C"/>
    <w:rsid w:val="00CE7EFF"/>
    <w:rsid w:val="00CF0034"/>
    <w:rsid w:val="00CF05AF"/>
    <w:rsid w:val="00CF06CB"/>
    <w:rsid w:val="00CF0888"/>
    <w:rsid w:val="00CF0ABD"/>
    <w:rsid w:val="00CF0B77"/>
    <w:rsid w:val="00CF1281"/>
    <w:rsid w:val="00CF13E3"/>
    <w:rsid w:val="00CF1610"/>
    <w:rsid w:val="00CF18FB"/>
    <w:rsid w:val="00CF19F6"/>
    <w:rsid w:val="00CF1A70"/>
    <w:rsid w:val="00CF1F6D"/>
    <w:rsid w:val="00CF1FE8"/>
    <w:rsid w:val="00CF208F"/>
    <w:rsid w:val="00CF2105"/>
    <w:rsid w:val="00CF24A5"/>
    <w:rsid w:val="00CF26F2"/>
    <w:rsid w:val="00CF27B8"/>
    <w:rsid w:val="00CF3159"/>
    <w:rsid w:val="00CF35F5"/>
    <w:rsid w:val="00CF35F9"/>
    <w:rsid w:val="00CF3608"/>
    <w:rsid w:val="00CF3636"/>
    <w:rsid w:val="00CF38D5"/>
    <w:rsid w:val="00CF3BFB"/>
    <w:rsid w:val="00CF3E56"/>
    <w:rsid w:val="00CF4047"/>
    <w:rsid w:val="00CF4320"/>
    <w:rsid w:val="00CF4525"/>
    <w:rsid w:val="00CF4D5E"/>
    <w:rsid w:val="00CF5020"/>
    <w:rsid w:val="00CF5110"/>
    <w:rsid w:val="00CF5365"/>
    <w:rsid w:val="00CF5413"/>
    <w:rsid w:val="00CF5C2F"/>
    <w:rsid w:val="00CF5D2B"/>
    <w:rsid w:val="00CF5EFF"/>
    <w:rsid w:val="00CF600B"/>
    <w:rsid w:val="00CF628D"/>
    <w:rsid w:val="00CF62C4"/>
    <w:rsid w:val="00CF638E"/>
    <w:rsid w:val="00CF655E"/>
    <w:rsid w:val="00CF6A6B"/>
    <w:rsid w:val="00CF6ACC"/>
    <w:rsid w:val="00CF6C70"/>
    <w:rsid w:val="00CF738C"/>
    <w:rsid w:val="00CF7412"/>
    <w:rsid w:val="00CF75DA"/>
    <w:rsid w:val="00CF7789"/>
    <w:rsid w:val="00CF7C1B"/>
    <w:rsid w:val="00CF7D86"/>
    <w:rsid w:val="00D00041"/>
    <w:rsid w:val="00D00370"/>
    <w:rsid w:val="00D00389"/>
    <w:rsid w:val="00D00592"/>
    <w:rsid w:val="00D007D0"/>
    <w:rsid w:val="00D00A47"/>
    <w:rsid w:val="00D011BA"/>
    <w:rsid w:val="00D011EF"/>
    <w:rsid w:val="00D01438"/>
    <w:rsid w:val="00D0152C"/>
    <w:rsid w:val="00D01630"/>
    <w:rsid w:val="00D016B5"/>
    <w:rsid w:val="00D017E0"/>
    <w:rsid w:val="00D01B43"/>
    <w:rsid w:val="00D01C19"/>
    <w:rsid w:val="00D01CFD"/>
    <w:rsid w:val="00D021B8"/>
    <w:rsid w:val="00D02216"/>
    <w:rsid w:val="00D027AB"/>
    <w:rsid w:val="00D02988"/>
    <w:rsid w:val="00D02A24"/>
    <w:rsid w:val="00D02C02"/>
    <w:rsid w:val="00D03349"/>
    <w:rsid w:val="00D03401"/>
    <w:rsid w:val="00D03660"/>
    <w:rsid w:val="00D03717"/>
    <w:rsid w:val="00D03B59"/>
    <w:rsid w:val="00D03FC0"/>
    <w:rsid w:val="00D0414D"/>
    <w:rsid w:val="00D041A4"/>
    <w:rsid w:val="00D0465F"/>
    <w:rsid w:val="00D04662"/>
    <w:rsid w:val="00D04A72"/>
    <w:rsid w:val="00D04B5D"/>
    <w:rsid w:val="00D04C8E"/>
    <w:rsid w:val="00D04E16"/>
    <w:rsid w:val="00D05097"/>
    <w:rsid w:val="00D051BF"/>
    <w:rsid w:val="00D058C6"/>
    <w:rsid w:val="00D05973"/>
    <w:rsid w:val="00D05A59"/>
    <w:rsid w:val="00D05B9E"/>
    <w:rsid w:val="00D05E6A"/>
    <w:rsid w:val="00D05F78"/>
    <w:rsid w:val="00D06353"/>
    <w:rsid w:val="00D07269"/>
    <w:rsid w:val="00D07363"/>
    <w:rsid w:val="00D073A9"/>
    <w:rsid w:val="00D07702"/>
    <w:rsid w:val="00D07937"/>
    <w:rsid w:val="00D07AA4"/>
    <w:rsid w:val="00D07BF3"/>
    <w:rsid w:val="00D07E10"/>
    <w:rsid w:val="00D07FA6"/>
    <w:rsid w:val="00D10203"/>
    <w:rsid w:val="00D10354"/>
    <w:rsid w:val="00D1055B"/>
    <w:rsid w:val="00D10585"/>
    <w:rsid w:val="00D10C7A"/>
    <w:rsid w:val="00D10CB0"/>
    <w:rsid w:val="00D10E1D"/>
    <w:rsid w:val="00D10E48"/>
    <w:rsid w:val="00D110A0"/>
    <w:rsid w:val="00D11336"/>
    <w:rsid w:val="00D115D7"/>
    <w:rsid w:val="00D11BC7"/>
    <w:rsid w:val="00D11C96"/>
    <w:rsid w:val="00D11E0D"/>
    <w:rsid w:val="00D1207B"/>
    <w:rsid w:val="00D121D6"/>
    <w:rsid w:val="00D12383"/>
    <w:rsid w:val="00D12482"/>
    <w:rsid w:val="00D127E0"/>
    <w:rsid w:val="00D12B03"/>
    <w:rsid w:val="00D12D7E"/>
    <w:rsid w:val="00D12F4E"/>
    <w:rsid w:val="00D12F88"/>
    <w:rsid w:val="00D13045"/>
    <w:rsid w:val="00D1326C"/>
    <w:rsid w:val="00D13594"/>
    <w:rsid w:val="00D1371A"/>
    <w:rsid w:val="00D13920"/>
    <w:rsid w:val="00D13A79"/>
    <w:rsid w:val="00D13F6E"/>
    <w:rsid w:val="00D143A0"/>
    <w:rsid w:val="00D14423"/>
    <w:rsid w:val="00D1484E"/>
    <w:rsid w:val="00D14F34"/>
    <w:rsid w:val="00D14F36"/>
    <w:rsid w:val="00D15207"/>
    <w:rsid w:val="00D15369"/>
    <w:rsid w:val="00D156A7"/>
    <w:rsid w:val="00D1594B"/>
    <w:rsid w:val="00D15B28"/>
    <w:rsid w:val="00D160E9"/>
    <w:rsid w:val="00D16758"/>
    <w:rsid w:val="00D16961"/>
    <w:rsid w:val="00D16A33"/>
    <w:rsid w:val="00D16B3A"/>
    <w:rsid w:val="00D16BD2"/>
    <w:rsid w:val="00D16CC5"/>
    <w:rsid w:val="00D16E42"/>
    <w:rsid w:val="00D16FF3"/>
    <w:rsid w:val="00D170E0"/>
    <w:rsid w:val="00D17140"/>
    <w:rsid w:val="00D17A47"/>
    <w:rsid w:val="00D17ED6"/>
    <w:rsid w:val="00D17FE4"/>
    <w:rsid w:val="00D20372"/>
    <w:rsid w:val="00D2090B"/>
    <w:rsid w:val="00D20CAA"/>
    <w:rsid w:val="00D20E1C"/>
    <w:rsid w:val="00D20E9E"/>
    <w:rsid w:val="00D21017"/>
    <w:rsid w:val="00D213B2"/>
    <w:rsid w:val="00D2168B"/>
    <w:rsid w:val="00D216EB"/>
    <w:rsid w:val="00D21760"/>
    <w:rsid w:val="00D2255F"/>
    <w:rsid w:val="00D22722"/>
    <w:rsid w:val="00D22815"/>
    <w:rsid w:val="00D22BBC"/>
    <w:rsid w:val="00D22DCF"/>
    <w:rsid w:val="00D22DDF"/>
    <w:rsid w:val="00D22E34"/>
    <w:rsid w:val="00D23029"/>
    <w:rsid w:val="00D2307C"/>
    <w:rsid w:val="00D23548"/>
    <w:rsid w:val="00D2398B"/>
    <w:rsid w:val="00D23A4C"/>
    <w:rsid w:val="00D23F30"/>
    <w:rsid w:val="00D23F4D"/>
    <w:rsid w:val="00D24097"/>
    <w:rsid w:val="00D24280"/>
    <w:rsid w:val="00D2432A"/>
    <w:rsid w:val="00D24409"/>
    <w:rsid w:val="00D24BA6"/>
    <w:rsid w:val="00D24C8B"/>
    <w:rsid w:val="00D24E80"/>
    <w:rsid w:val="00D250FB"/>
    <w:rsid w:val="00D2518C"/>
    <w:rsid w:val="00D25207"/>
    <w:rsid w:val="00D25D7C"/>
    <w:rsid w:val="00D26118"/>
    <w:rsid w:val="00D26133"/>
    <w:rsid w:val="00D26376"/>
    <w:rsid w:val="00D2658F"/>
    <w:rsid w:val="00D267DA"/>
    <w:rsid w:val="00D268BD"/>
    <w:rsid w:val="00D26969"/>
    <w:rsid w:val="00D26BA8"/>
    <w:rsid w:val="00D26CD9"/>
    <w:rsid w:val="00D26CE6"/>
    <w:rsid w:val="00D26DF5"/>
    <w:rsid w:val="00D26F0C"/>
    <w:rsid w:val="00D273C7"/>
    <w:rsid w:val="00D273EF"/>
    <w:rsid w:val="00D27443"/>
    <w:rsid w:val="00D27E29"/>
    <w:rsid w:val="00D27E48"/>
    <w:rsid w:val="00D27F62"/>
    <w:rsid w:val="00D300EE"/>
    <w:rsid w:val="00D301CE"/>
    <w:rsid w:val="00D3028F"/>
    <w:rsid w:val="00D3058A"/>
    <w:rsid w:val="00D30623"/>
    <w:rsid w:val="00D309E5"/>
    <w:rsid w:val="00D30AE1"/>
    <w:rsid w:val="00D30BAA"/>
    <w:rsid w:val="00D31AB3"/>
    <w:rsid w:val="00D31C8A"/>
    <w:rsid w:val="00D31E8B"/>
    <w:rsid w:val="00D32284"/>
    <w:rsid w:val="00D326D0"/>
    <w:rsid w:val="00D327BD"/>
    <w:rsid w:val="00D3289B"/>
    <w:rsid w:val="00D32E67"/>
    <w:rsid w:val="00D32FE4"/>
    <w:rsid w:val="00D331EE"/>
    <w:rsid w:val="00D3330F"/>
    <w:rsid w:val="00D334FA"/>
    <w:rsid w:val="00D335A5"/>
    <w:rsid w:val="00D3361D"/>
    <w:rsid w:val="00D33A64"/>
    <w:rsid w:val="00D33BD6"/>
    <w:rsid w:val="00D33D11"/>
    <w:rsid w:val="00D33FEB"/>
    <w:rsid w:val="00D34382"/>
    <w:rsid w:val="00D34411"/>
    <w:rsid w:val="00D3449B"/>
    <w:rsid w:val="00D3482E"/>
    <w:rsid w:val="00D34EC9"/>
    <w:rsid w:val="00D350EB"/>
    <w:rsid w:val="00D35415"/>
    <w:rsid w:val="00D356EF"/>
    <w:rsid w:val="00D359C7"/>
    <w:rsid w:val="00D35E48"/>
    <w:rsid w:val="00D364DA"/>
    <w:rsid w:val="00D3658E"/>
    <w:rsid w:val="00D36830"/>
    <w:rsid w:val="00D36AC0"/>
    <w:rsid w:val="00D36B11"/>
    <w:rsid w:val="00D36B1E"/>
    <w:rsid w:val="00D36DA6"/>
    <w:rsid w:val="00D371D9"/>
    <w:rsid w:val="00D37242"/>
    <w:rsid w:val="00D3739C"/>
    <w:rsid w:val="00D37571"/>
    <w:rsid w:val="00D3766A"/>
    <w:rsid w:val="00D3772B"/>
    <w:rsid w:val="00D37828"/>
    <w:rsid w:val="00D37F57"/>
    <w:rsid w:val="00D4070B"/>
    <w:rsid w:val="00D407A9"/>
    <w:rsid w:val="00D40BF6"/>
    <w:rsid w:val="00D40E5B"/>
    <w:rsid w:val="00D40E7A"/>
    <w:rsid w:val="00D41226"/>
    <w:rsid w:val="00D41239"/>
    <w:rsid w:val="00D4126D"/>
    <w:rsid w:val="00D412DD"/>
    <w:rsid w:val="00D4145C"/>
    <w:rsid w:val="00D416B5"/>
    <w:rsid w:val="00D418F7"/>
    <w:rsid w:val="00D4206F"/>
    <w:rsid w:val="00D421F8"/>
    <w:rsid w:val="00D4242F"/>
    <w:rsid w:val="00D427A9"/>
    <w:rsid w:val="00D42818"/>
    <w:rsid w:val="00D4283A"/>
    <w:rsid w:val="00D42A68"/>
    <w:rsid w:val="00D42CB8"/>
    <w:rsid w:val="00D42D50"/>
    <w:rsid w:val="00D42F57"/>
    <w:rsid w:val="00D43147"/>
    <w:rsid w:val="00D4352C"/>
    <w:rsid w:val="00D436D5"/>
    <w:rsid w:val="00D437B4"/>
    <w:rsid w:val="00D439CB"/>
    <w:rsid w:val="00D43B2B"/>
    <w:rsid w:val="00D43FF4"/>
    <w:rsid w:val="00D4409B"/>
    <w:rsid w:val="00D4492D"/>
    <w:rsid w:val="00D44D67"/>
    <w:rsid w:val="00D44E03"/>
    <w:rsid w:val="00D453AC"/>
    <w:rsid w:val="00D456CA"/>
    <w:rsid w:val="00D45764"/>
    <w:rsid w:val="00D45CCF"/>
    <w:rsid w:val="00D45E53"/>
    <w:rsid w:val="00D4600E"/>
    <w:rsid w:val="00D461F9"/>
    <w:rsid w:val="00D4626D"/>
    <w:rsid w:val="00D467A2"/>
    <w:rsid w:val="00D46917"/>
    <w:rsid w:val="00D46AA8"/>
    <w:rsid w:val="00D46F11"/>
    <w:rsid w:val="00D46F7D"/>
    <w:rsid w:val="00D4716A"/>
    <w:rsid w:val="00D47432"/>
    <w:rsid w:val="00D47A32"/>
    <w:rsid w:val="00D47B25"/>
    <w:rsid w:val="00D47BEE"/>
    <w:rsid w:val="00D5069A"/>
    <w:rsid w:val="00D50721"/>
    <w:rsid w:val="00D50946"/>
    <w:rsid w:val="00D5097C"/>
    <w:rsid w:val="00D50A77"/>
    <w:rsid w:val="00D50F5F"/>
    <w:rsid w:val="00D510D2"/>
    <w:rsid w:val="00D51255"/>
    <w:rsid w:val="00D51413"/>
    <w:rsid w:val="00D51852"/>
    <w:rsid w:val="00D51A05"/>
    <w:rsid w:val="00D51E7A"/>
    <w:rsid w:val="00D52005"/>
    <w:rsid w:val="00D52014"/>
    <w:rsid w:val="00D520AA"/>
    <w:rsid w:val="00D52381"/>
    <w:rsid w:val="00D52509"/>
    <w:rsid w:val="00D52723"/>
    <w:rsid w:val="00D52785"/>
    <w:rsid w:val="00D529F7"/>
    <w:rsid w:val="00D52C65"/>
    <w:rsid w:val="00D531D6"/>
    <w:rsid w:val="00D53226"/>
    <w:rsid w:val="00D5363A"/>
    <w:rsid w:val="00D538A8"/>
    <w:rsid w:val="00D53F3D"/>
    <w:rsid w:val="00D543E5"/>
    <w:rsid w:val="00D5456C"/>
    <w:rsid w:val="00D5479B"/>
    <w:rsid w:val="00D54BBE"/>
    <w:rsid w:val="00D5516C"/>
    <w:rsid w:val="00D5529D"/>
    <w:rsid w:val="00D55357"/>
    <w:rsid w:val="00D559E2"/>
    <w:rsid w:val="00D55FBE"/>
    <w:rsid w:val="00D56023"/>
    <w:rsid w:val="00D56444"/>
    <w:rsid w:val="00D569C7"/>
    <w:rsid w:val="00D569E3"/>
    <w:rsid w:val="00D56BAC"/>
    <w:rsid w:val="00D56DC7"/>
    <w:rsid w:val="00D56EC8"/>
    <w:rsid w:val="00D57188"/>
    <w:rsid w:val="00D576F3"/>
    <w:rsid w:val="00D57808"/>
    <w:rsid w:val="00D579BE"/>
    <w:rsid w:val="00D57E61"/>
    <w:rsid w:val="00D60241"/>
    <w:rsid w:val="00D60425"/>
    <w:rsid w:val="00D604FA"/>
    <w:rsid w:val="00D6066D"/>
    <w:rsid w:val="00D612EB"/>
    <w:rsid w:val="00D6148C"/>
    <w:rsid w:val="00D61610"/>
    <w:rsid w:val="00D61FA3"/>
    <w:rsid w:val="00D62485"/>
    <w:rsid w:val="00D625BE"/>
    <w:rsid w:val="00D6270A"/>
    <w:rsid w:val="00D62E30"/>
    <w:rsid w:val="00D62E82"/>
    <w:rsid w:val="00D6315B"/>
    <w:rsid w:val="00D6330E"/>
    <w:rsid w:val="00D6379F"/>
    <w:rsid w:val="00D6381F"/>
    <w:rsid w:val="00D6384E"/>
    <w:rsid w:val="00D63B65"/>
    <w:rsid w:val="00D63C48"/>
    <w:rsid w:val="00D64123"/>
    <w:rsid w:val="00D6417B"/>
    <w:rsid w:val="00D64387"/>
    <w:rsid w:val="00D64534"/>
    <w:rsid w:val="00D64914"/>
    <w:rsid w:val="00D64CD0"/>
    <w:rsid w:val="00D64E5C"/>
    <w:rsid w:val="00D650C0"/>
    <w:rsid w:val="00D650DE"/>
    <w:rsid w:val="00D65134"/>
    <w:rsid w:val="00D6523D"/>
    <w:rsid w:val="00D65560"/>
    <w:rsid w:val="00D65F59"/>
    <w:rsid w:val="00D66037"/>
    <w:rsid w:val="00D66143"/>
    <w:rsid w:val="00D6626E"/>
    <w:rsid w:val="00D66344"/>
    <w:rsid w:val="00D668E5"/>
    <w:rsid w:val="00D66C9E"/>
    <w:rsid w:val="00D66E3D"/>
    <w:rsid w:val="00D66EF5"/>
    <w:rsid w:val="00D67365"/>
    <w:rsid w:val="00D6763A"/>
    <w:rsid w:val="00D677DE"/>
    <w:rsid w:val="00D6787F"/>
    <w:rsid w:val="00D67CE6"/>
    <w:rsid w:val="00D67D84"/>
    <w:rsid w:val="00D67E1A"/>
    <w:rsid w:val="00D67FA4"/>
    <w:rsid w:val="00D70013"/>
    <w:rsid w:val="00D7027E"/>
    <w:rsid w:val="00D7051A"/>
    <w:rsid w:val="00D7082A"/>
    <w:rsid w:val="00D7092C"/>
    <w:rsid w:val="00D7099B"/>
    <w:rsid w:val="00D70BDB"/>
    <w:rsid w:val="00D70BDC"/>
    <w:rsid w:val="00D70DFB"/>
    <w:rsid w:val="00D714B9"/>
    <w:rsid w:val="00D71540"/>
    <w:rsid w:val="00D716C8"/>
    <w:rsid w:val="00D716FA"/>
    <w:rsid w:val="00D71AC1"/>
    <w:rsid w:val="00D71C2D"/>
    <w:rsid w:val="00D71C56"/>
    <w:rsid w:val="00D71E05"/>
    <w:rsid w:val="00D71EE6"/>
    <w:rsid w:val="00D71FC4"/>
    <w:rsid w:val="00D72024"/>
    <w:rsid w:val="00D72076"/>
    <w:rsid w:val="00D7216D"/>
    <w:rsid w:val="00D725E1"/>
    <w:rsid w:val="00D72E94"/>
    <w:rsid w:val="00D7303C"/>
    <w:rsid w:val="00D7313D"/>
    <w:rsid w:val="00D7356C"/>
    <w:rsid w:val="00D73B0E"/>
    <w:rsid w:val="00D73BA6"/>
    <w:rsid w:val="00D73D14"/>
    <w:rsid w:val="00D73E47"/>
    <w:rsid w:val="00D73E81"/>
    <w:rsid w:val="00D73F0F"/>
    <w:rsid w:val="00D74264"/>
    <w:rsid w:val="00D744B0"/>
    <w:rsid w:val="00D7469B"/>
    <w:rsid w:val="00D74C4F"/>
    <w:rsid w:val="00D74EBE"/>
    <w:rsid w:val="00D752A5"/>
    <w:rsid w:val="00D75651"/>
    <w:rsid w:val="00D7583D"/>
    <w:rsid w:val="00D75AF5"/>
    <w:rsid w:val="00D75AFB"/>
    <w:rsid w:val="00D75B48"/>
    <w:rsid w:val="00D75F05"/>
    <w:rsid w:val="00D75F25"/>
    <w:rsid w:val="00D7609B"/>
    <w:rsid w:val="00D76261"/>
    <w:rsid w:val="00D765A6"/>
    <w:rsid w:val="00D7679E"/>
    <w:rsid w:val="00D76B32"/>
    <w:rsid w:val="00D76C51"/>
    <w:rsid w:val="00D76D6B"/>
    <w:rsid w:val="00D76D88"/>
    <w:rsid w:val="00D770CA"/>
    <w:rsid w:val="00D77367"/>
    <w:rsid w:val="00D775ED"/>
    <w:rsid w:val="00D779BB"/>
    <w:rsid w:val="00D77DDB"/>
    <w:rsid w:val="00D77FD2"/>
    <w:rsid w:val="00D801CE"/>
    <w:rsid w:val="00D802D7"/>
    <w:rsid w:val="00D80799"/>
    <w:rsid w:val="00D807C1"/>
    <w:rsid w:val="00D80B30"/>
    <w:rsid w:val="00D80CBA"/>
    <w:rsid w:val="00D80E14"/>
    <w:rsid w:val="00D80F98"/>
    <w:rsid w:val="00D815A9"/>
    <w:rsid w:val="00D81701"/>
    <w:rsid w:val="00D81B01"/>
    <w:rsid w:val="00D81CF8"/>
    <w:rsid w:val="00D81D09"/>
    <w:rsid w:val="00D81EEC"/>
    <w:rsid w:val="00D82082"/>
    <w:rsid w:val="00D822A0"/>
    <w:rsid w:val="00D826E4"/>
    <w:rsid w:val="00D828E4"/>
    <w:rsid w:val="00D828ED"/>
    <w:rsid w:val="00D82BD7"/>
    <w:rsid w:val="00D82D42"/>
    <w:rsid w:val="00D82EB7"/>
    <w:rsid w:val="00D83055"/>
    <w:rsid w:val="00D8318D"/>
    <w:rsid w:val="00D834A6"/>
    <w:rsid w:val="00D8351E"/>
    <w:rsid w:val="00D844A6"/>
    <w:rsid w:val="00D84725"/>
    <w:rsid w:val="00D84785"/>
    <w:rsid w:val="00D84929"/>
    <w:rsid w:val="00D84E39"/>
    <w:rsid w:val="00D85816"/>
    <w:rsid w:val="00D85A11"/>
    <w:rsid w:val="00D85AAC"/>
    <w:rsid w:val="00D85ACE"/>
    <w:rsid w:val="00D85BA5"/>
    <w:rsid w:val="00D85DB5"/>
    <w:rsid w:val="00D86044"/>
    <w:rsid w:val="00D86377"/>
    <w:rsid w:val="00D86511"/>
    <w:rsid w:val="00D8672E"/>
    <w:rsid w:val="00D86AA0"/>
    <w:rsid w:val="00D86D87"/>
    <w:rsid w:val="00D86EF8"/>
    <w:rsid w:val="00D87007"/>
    <w:rsid w:val="00D871DB"/>
    <w:rsid w:val="00D87BA2"/>
    <w:rsid w:val="00D87CD5"/>
    <w:rsid w:val="00D87D57"/>
    <w:rsid w:val="00D87DDF"/>
    <w:rsid w:val="00D90294"/>
    <w:rsid w:val="00D903E7"/>
    <w:rsid w:val="00D90413"/>
    <w:rsid w:val="00D9045F"/>
    <w:rsid w:val="00D90916"/>
    <w:rsid w:val="00D90A24"/>
    <w:rsid w:val="00D90C40"/>
    <w:rsid w:val="00D90D29"/>
    <w:rsid w:val="00D90D2B"/>
    <w:rsid w:val="00D90DB1"/>
    <w:rsid w:val="00D90E90"/>
    <w:rsid w:val="00D91101"/>
    <w:rsid w:val="00D91112"/>
    <w:rsid w:val="00D9134A"/>
    <w:rsid w:val="00D913D6"/>
    <w:rsid w:val="00D914F0"/>
    <w:rsid w:val="00D9157C"/>
    <w:rsid w:val="00D91DD1"/>
    <w:rsid w:val="00D91E17"/>
    <w:rsid w:val="00D922E4"/>
    <w:rsid w:val="00D9247C"/>
    <w:rsid w:val="00D9278B"/>
    <w:rsid w:val="00D92820"/>
    <w:rsid w:val="00D92864"/>
    <w:rsid w:val="00D92866"/>
    <w:rsid w:val="00D92BC2"/>
    <w:rsid w:val="00D92C9B"/>
    <w:rsid w:val="00D92E5A"/>
    <w:rsid w:val="00D93339"/>
    <w:rsid w:val="00D935B9"/>
    <w:rsid w:val="00D935F7"/>
    <w:rsid w:val="00D9375B"/>
    <w:rsid w:val="00D939F5"/>
    <w:rsid w:val="00D93ABF"/>
    <w:rsid w:val="00D93BB1"/>
    <w:rsid w:val="00D941D0"/>
    <w:rsid w:val="00D94548"/>
    <w:rsid w:val="00D9456F"/>
    <w:rsid w:val="00D94803"/>
    <w:rsid w:val="00D94AF8"/>
    <w:rsid w:val="00D94B54"/>
    <w:rsid w:val="00D94BBB"/>
    <w:rsid w:val="00D95854"/>
    <w:rsid w:val="00D95966"/>
    <w:rsid w:val="00D95D2C"/>
    <w:rsid w:val="00D95F34"/>
    <w:rsid w:val="00D95F42"/>
    <w:rsid w:val="00D9619A"/>
    <w:rsid w:val="00D96389"/>
    <w:rsid w:val="00D96C7E"/>
    <w:rsid w:val="00D96E7B"/>
    <w:rsid w:val="00D9723D"/>
    <w:rsid w:val="00D974CC"/>
    <w:rsid w:val="00D977A7"/>
    <w:rsid w:val="00D97952"/>
    <w:rsid w:val="00D979B4"/>
    <w:rsid w:val="00D97A35"/>
    <w:rsid w:val="00D97BD5"/>
    <w:rsid w:val="00D97BE3"/>
    <w:rsid w:val="00D97D01"/>
    <w:rsid w:val="00D97D07"/>
    <w:rsid w:val="00D97E9E"/>
    <w:rsid w:val="00DA0C10"/>
    <w:rsid w:val="00DA0D0C"/>
    <w:rsid w:val="00DA1094"/>
    <w:rsid w:val="00DA13F3"/>
    <w:rsid w:val="00DA178E"/>
    <w:rsid w:val="00DA1A35"/>
    <w:rsid w:val="00DA1AF9"/>
    <w:rsid w:val="00DA1FAE"/>
    <w:rsid w:val="00DA1FC8"/>
    <w:rsid w:val="00DA2072"/>
    <w:rsid w:val="00DA20AD"/>
    <w:rsid w:val="00DA2168"/>
    <w:rsid w:val="00DA221F"/>
    <w:rsid w:val="00DA24F4"/>
    <w:rsid w:val="00DA27EF"/>
    <w:rsid w:val="00DA2878"/>
    <w:rsid w:val="00DA2971"/>
    <w:rsid w:val="00DA2981"/>
    <w:rsid w:val="00DA2DF8"/>
    <w:rsid w:val="00DA2DF9"/>
    <w:rsid w:val="00DA30D6"/>
    <w:rsid w:val="00DA310E"/>
    <w:rsid w:val="00DA33A5"/>
    <w:rsid w:val="00DA35AE"/>
    <w:rsid w:val="00DA362B"/>
    <w:rsid w:val="00DA38C8"/>
    <w:rsid w:val="00DA39E3"/>
    <w:rsid w:val="00DA3AD2"/>
    <w:rsid w:val="00DA3DF0"/>
    <w:rsid w:val="00DA4238"/>
    <w:rsid w:val="00DA430C"/>
    <w:rsid w:val="00DA4415"/>
    <w:rsid w:val="00DA46F9"/>
    <w:rsid w:val="00DA4A0B"/>
    <w:rsid w:val="00DA4D4A"/>
    <w:rsid w:val="00DA4E5C"/>
    <w:rsid w:val="00DA5053"/>
    <w:rsid w:val="00DA55F2"/>
    <w:rsid w:val="00DA573C"/>
    <w:rsid w:val="00DA581C"/>
    <w:rsid w:val="00DA590B"/>
    <w:rsid w:val="00DA591E"/>
    <w:rsid w:val="00DA5971"/>
    <w:rsid w:val="00DA5D11"/>
    <w:rsid w:val="00DA5DB2"/>
    <w:rsid w:val="00DA5E23"/>
    <w:rsid w:val="00DA5F6B"/>
    <w:rsid w:val="00DA65F4"/>
    <w:rsid w:val="00DA6B12"/>
    <w:rsid w:val="00DA6B2A"/>
    <w:rsid w:val="00DA6BF9"/>
    <w:rsid w:val="00DA6E30"/>
    <w:rsid w:val="00DA6EC5"/>
    <w:rsid w:val="00DA711F"/>
    <w:rsid w:val="00DA71CE"/>
    <w:rsid w:val="00DA73F1"/>
    <w:rsid w:val="00DA7460"/>
    <w:rsid w:val="00DA752A"/>
    <w:rsid w:val="00DA7CBE"/>
    <w:rsid w:val="00DA7F24"/>
    <w:rsid w:val="00DB0177"/>
    <w:rsid w:val="00DB0344"/>
    <w:rsid w:val="00DB0429"/>
    <w:rsid w:val="00DB052F"/>
    <w:rsid w:val="00DB0577"/>
    <w:rsid w:val="00DB05CD"/>
    <w:rsid w:val="00DB0DD0"/>
    <w:rsid w:val="00DB0EF9"/>
    <w:rsid w:val="00DB0FCD"/>
    <w:rsid w:val="00DB1056"/>
    <w:rsid w:val="00DB11AF"/>
    <w:rsid w:val="00DB1AD3"/>
    <w:rsid w:val="00DB1EB9"/>
    <w:rsid w:val="00DB23A7"/>
    <w:rsid w:val="00DB23E7"/>
    <w:rsid w:val="00DB2571"/>
    <w:rsid w:val="00DB273C"/>
    <w:rsid w:val="00DB2C8D"/>
    <w:rsid w:val="00DB2C93"/>
    <w:rsid w:val="00DB2F1D"/>
    <w:rsid w:val="00DB3102"/>
    <w:rsid w:val="00DB312C"/>
    <w:rsid w:val="00DB3144"/>
    <w:rsid w:val="00DB3805"/>
    <w:rsid w:val="00DB3A66"/>
    <w:rsid w:val="00DB3AD9"/>
    <w:rsid w:val="00DB3BDF"/>
    <w:rsid w:val="00DB3E77"/>
    <w:rsid w:val="00DB46C0"/>
    <w:rsid w:val="00DB46CF"/>
    <w:rsid w:val="00DB4CB1"/>
    <w:rsid w:val="00DB4ED1"/>
    <w:rsid w:val="00DB507F"/>
    <w:rsid w:val="00DB528A"/>
    <w:rsid w:val="00DB5420"/>
    <w:rsid w:val="00DB571A"/>
    <w:rsid w:val="00DB5899"/>
    <w:rsid w:val="00DB5A08"/>
    <w:rsid w:val="00DB5BE9"/>
    <w:rsid w:val="00DB5D8A"/>
    <w:rsid w:val="00DB5D93"/>
    <w:rsid w:val="00DB60F8"/>
    <w:rsid w:val="00DB6404"/>
    <w:rsid w:val="00DB6409"/>
    <w:rsid w:val="00DB64FA"/>
    <w:rsid w:val="00DB6737"/>
    <w:rsid w:val="00DB6DC1"/>
    <w:rsid w:val="00DB7036"/>
    <w:rsid w:val="00DB71A9"/>
    <w:rsid w:val="00DB74ED"/>
    <w:rsid w:val="00DB751F"/>
    <w:rsid w:val="00DB7566"/>
    <w:rsid w:val="00DB7874"/>
    <w:rsid w:val="00DB7A0B"/>
    <w:rsid w:val="00DB7B4B"/>
    <w:rsid w:val="00DB7DAF"/>
    <w:rsid w:val="00DC022A"/>
    <w:rsid w:val="00DC0421"/>
    <w:rsid w:val="00DC052E"/>
    <w:rsid w:val="00DC05F9"/>
    <w:rsid w:val="00DC067B"/>
    <w:rsid w:val="00DC08E4"/>
    <w:rsid w:val="00DC0C1B"/>
    <w:rsid w:val="00DC0C3A"/>
    <w:rsid w:val="00DC0C88"/>
    <w:rsid w:val="00DC0EDF"/>
    <w:rsid w:val="00DC1061"/>
    <w:rsid w:val="00DC10D1"/>
    <w:rsid w:val="00DC1426"/>
    <w:rsid w:val="00DC14EB"/>
    <w:rsid w:val="00DC1755"/>
    <w:rsid w:val="00DC1893"/>
    <w:rsid w:val="00DC19DA"/>
    <w:rsid w:val="00DC1CAF"/>
    <w:rsid w:val="00DC20B4"/>
    <w:rsid w:val="00DC2429"/>
    <w:rsid w:val="00DC2710"/>
    <w:rsid w:val="00DC28E4"/>
    <w:rsid w:val="00DC2A44"/>
    <w:rsid w:val="00DC2BAE"/>
    <w:rsid w:val="00DC2C12"/>
    <w:rsid w:val="00DC2DC0"/>
    <w:rsid w:val="00DC2E52"/>
    <w:rsid w:val="00DC335A"/>
    <w:rsid w:val="00DC3484"/>
    <w:rsid w:val="00DC35CB"/>
    <w:rsid w:val="00DC3672"/>
    <w:rsid w:val="00DC3685"/>
    <w:rsid w:val="00DC3E16"/>
    <w:rsid w:val="00DC3E75"/>
    <w:rsid w:val="00DC3EA2"/>
    <w:rsid w:val="00DC44F9"/>
    <w:rsid w:val="00DC4BF1"/>
    <w:rsid w:val="00DC4C95"/>
    <w:rsid w:val="00DC4DF1"/>
    <w:rsid w:val="00DC5009"/>
    <w:rsid w:val="00DC5113"/>
    <w:rsid w:val="00DC53C6"/>
    <w:rsid w:val="00DC5503"/>
    <w:rsid w:val="00DC5EDC"/>
    <w:rsid w:val="00DC5EE8"/>
    <w:rsid w:val="00DC6313"/>
    <w:rsid w:val="00DC6651"/>
    <w:rsid w:val="00DC66F9"/>
    <w:rsid w:val="00DC6849"/>
    <w:rsid w:val="00DC7402"/>
    <w:rsid w:val="00DC755F"/>
    <w:rsid w:val="00DC79D3"/>
    <w:rsid w:val="00DC7C9E"/>
    <w:rsid w:val="00DD014C"/>
    <w:rsid w:val="00DD0A8D"/>
    <w:rsid w:val="00DD0CDA"/>
    <w:rsid w:val="00DD0E41"/>
    <w:rsid w:val="00DD0EE2"/>
    <w:rsid w:val="00DD13D0"/>
    <w:rsid w:val="00DD1460"/>
    <w:rsid w:val="00DD1AAF"/>
    <w:rsid w:val="00DD1B56"/>
    <w:rsid w:val="00DD1B9A"/>
    <w:rsid w:val="00DD1D2E"/>
    <w:rsid w:val="00DD1E96"/>
    <w:rsid w:val="00DD2264"/>
    <w:rsid w:val="00DD238F"/>
    <w:rsid w:val="00DD24A1"/>
    <w:rsid w:val="00DD25F4"/>
    <w:rsid w:val="00DD27DA"/>
    <w:rsid w:val="00DD2B2D"/>
    <w:rsid w:val="00DD2BA8"/>
    <w:rsid w:val="00DD2C0D"/>
    <w:rsid w:val="00DD2EFF"/>
    <w:rsid w:val="00DD30AD"/>
    <w:rsid w:val="00DD3104"/>
    <w:rsid w:val="00DD316C"/>
    <w:rsid w:val="00DD32A9"/>
    <w:rsid w:val="00DD3363"/>
    <w:rsid w:val="00DD3556"/>
    <w:rsid w:val="00DD36BD"/>
    <w:rsid w:val="00DD37A0"/>
    <w:rsid w:val="00DD37A7"/>
    <w:rsid w:val="00DD386F"/>
    <w:rsid w:val="00DD3B44"/>
    <w:rsid w:val="00DD3E0F"/>
    <w:rsid w:val="00DD3E1E"/>
    <w:rsid w:val="00DD4182"/>
    <w:rsid w:val="00DD41C1"/>
    <w:rsid w:val="00DD4239"/>
    <w:rsid w:val="00DD43EE"/>
    <w:rsid w:val="00DD4A8B"/>
    <w:rsid w:val="00DD4AD6"/>
    <w:rsid w:val="00DD4B87"/>
    <w:rsid w:val="00DD4FEA"/>
    <w:rsid w:val="00DD513C"/>
    <w:rsid w:val="00DD53CA"/>
    <w:rsid w:val="00DD5855"/>
    <w:rsid w:val="00DD60FF"/>
    <w:rsid w:val="00DD6402"/>
    <w:rsid w:val="00DD670B"/>
    <w:rsid w:val="00DD6EC3"/>
    <w:rsid w:val="00DD6FB3"/>
    <w:rsid w:val="00DD74CA"/>
    <w:rsid w:val="00DD7624"/>
    <w:rsid w:val="00DD786A"/>
    <w:rsid w:val="00DD79B5"/>
    <w:rsid w:val="00DD7A45"/>
    <w:rsid w:val="00DD7BC7"/>
    <w:rsid w:val="00DD7BEC"/>
    <w:rsid w:val="00DD7E5D"/>
    <w:rsid w:val="00DD7F3D"/>
    <w:rsid w:val="00DE0024"/>
    <w:rsid w:val="00DE0DFB"/>
    <w:rsid w:val="00DE0E44"/>
    <w:rsid w:val="00DE0F2B"/>
    <w:rsid w:val="00DE1016"/>
    <w:rsid w:val="00DE131E"/>
    <w:rsid w:val="00DE1647"/>
    <w:rsid w:val="00DE19D7"/>
    <w:rsid w:val="00DE1E3D"/>
    <w:rsid w:val="00DE1EB2"/>
    <w:rsid w:val="00DE1F3A"/>
    <w:rsid w:val="00DE21D5"/>
    <w:rsid w:val="00DE2481"/>
    <w:rsid w:val="00DE2944"/>
    <w:rsid w:val="00DE2AA4"/>
    <w:rsid w:val="00DE30A8"/>
    <w:rsid w:val="00DE30BE"/>
    <w:rsid w:val="00DE30D3"/>
    <w:rsid w:val="00DE31F3"/>
    <w:rsid w:val="00DE3216"/>
    <w:rsid w:val="00DE340E"/>
    <w:rsid w:val="00DE34F5"/>
    <w:rsid w:val="00DE38A9"/>
    <w:rsid w:val="00DE38AF"/>
    <w:rsid w:val="00DE3A39"/>
    <w:rsid w:val="00DE3AB8"/>
    <w:rsid w:val="00DE3B87"/>
    <w:rsid w:val="00DE40E7"/>
    <w:rsid w:val="00DE43EA"/>
    <w:rsid w:val="00DE4425"/>
    <w:rsid w:val="00DE4BDA"/>
    <w:rsid w:val="00DE4C75"/>
    <w:rsid w:val="00DE51E6"/>
    <w:rsid w:val="00DE5229"/>
    <w:rsid w:val="00DE5414"/>
    <w:rsid w:val="00DE58A7"/>
    <w:rsid w:val="00DE5BDC"/>
    <w:rsid w:val="00DE6145"/>
    <w:rsid w:val="00DE623C"/>
    <w:rsid w:val="00DE62DE"/>
    <w:rsid w:val="00DE62DF"/>
    <w:rsid w:val="00DE6349"/>
    <w:rsid w:val="00DE6431"/>
    <w:rsid w:val="00DE6501"/>
    <w:rsid w:val="00DE660D"/>
    <w:rsid w:val="00DE6774"/>
    <w:rsid w:val="00DE6A6D"/>
    <w:rsid w:val="00DE6C75"/>
    <w:rsid w:val="00DE6CED"/>
    <w:rsid w:val="00DE7108"/>
    <w:rsid w:val="00DE72D3"/>
    <w:rsid w:val="00DF0066"/>
    <w:rsid w:val="00DF0283"/>
    <w:rsid w:val="00DF0390"/>
    <w:rsid w:val="00DF0621"/>
    <w:rsid w:val="00DF0697"/>
    <w:rsid w:val="00DF08BE"/>
    <w:rsid w:val="00DF0932"/>
    <w:rsid w:val="00DF0998"/>
    <w:rsid w:val="00DF0A9E"/>
    <w:rsid w:val="00DF0ABE"/>
    <w:rsid w:val="00DF0C42"/>
    <w:rsid w:val="00DF0D8C"/>
    <w:rsid w:val="00DF0F42"/>
    <w:rsid w:val="00DF13F3"/>
    <w:rsid w:val="00DF17D7"/>
    <w:rsid w:val="00DF1831"/>
    <w:rsid w:val="00DF1940"/>
    <w:rsid w:val="00DF1961"/>
    <w:rsid w:val="00DF1998"/>
    <w:rsid w:val="00DF1B13"/>
    <w:rsid w:val="00DF1BA1"/>
    <w:rsid w:val="00DF1DED"/>
    <w:rsid w:val="00DF1F80"/>
    <w:rsid w:val="00DF2094"/>
    <w:rsid w:val="00DF23C7"/>
    <w:rsid w:val="00DF2990"/>
    <w:rsid w:val="00DF30BD"/>
    <w:rsid w:val="00DF322F"/>
    <w:rsid w:val="00DF336C"/>
    <w:rsid w:val="00DF3886"/>
    <w:rsid w:val="00DF39F2"/>
    <w:rsid w:val="00DF3DC5"/>
    <w:rsid w:val="00DF3F10"/>
    <w:rsid w:val="00DF3F3E"/>
    <w:rsid w:val="00DF400F"/>
    <w:rsid w:val="00DF4124"/>
    <w:rsid w:val="00DF4169"/>
    <w:rsid w:val="00DF43DD"/>
    <w:rsid w:val="00DF448B"/>
    <w:rsid w:val="00DF46BE"/>
    <w:rsid w:val="00DF4775"/>
    <w:rsid w:val="00DF4995"/>
    <w:rsid w:val="00DF4C10"/>
    <w:rsid w:val="00DF4C15"/>
    <w:rsid w:val="00DF4C43"/>
    <w:rsid w:val="00DF4C5E"/>
    <w:rsid w:val="00DF4C67"/>
    <w:rsid w:val="00DF4C9F"/>
    <w:rsid w:val="00DF50CC"/>
    <w:rsid w:val="00DF54CE"/>
    <w:rsid w:val="00DF57B4"/>
    <w:rsid w:val="00DF589C"/>
    <w:rsid w:val="00DF5EAE"/>
    <w:rsid w:val="00DF5F25"/>
    <w:rsid w:val="00DF61D8"/>
    <w:rsid w:val="00DF63A8"/>
    <w:rsid w:val="00DF64C8"/>
    <w:rsid w:val="00DF64D6"/>
    <w:rsid w:val="00DF6675"/>
    <w:rsid w:val="00DF6D80"/>
    <w:rsid w:val="00DF73EB"/>
    <w:rsid w:val="00DF760B"/>
    <w:rsid w:val="00DF78D7"/>
    <w:rsid w:val="00DF790E"/>
    <w:rsid w:val="00DF7A01"/>
    <w:rsid w:val="00DF7BF8"/>
    <w:rsid w:val="00DF7E54"/>
    <w:rsid w:val="00E00042"/>
    <w:rsid w:val="00E001A0"/>
    <w:rsid w:val="00E00251"/>
    <w:rsid w:val="00E004BC"/>
    <w:rsid w:val="00E005BF"/>
    <w:rsid w:val="00E00A0E"/>
    <w:rsid w:val="00E00A4E"/>
    <w:rsid w:val="00E00C75"/>
    <w:rsid w:val="00E00D3F"/>
    <w:rsid w:val="00E01744"/>
    <w:rsid w:val="00E017F6"/>
    <w:rsid w:val="00E01962"/>
    <w:rsid w:val="00E01A59"/>
    <w:rsid w:val="00E02CA6"/>
    <w:rsid w:val="00E036B1"/>
    <w:rsid w:val="00E03E1C"/>
    <w:rsid w:val="00E03E8C"/>
    <w:rsid w:val="00E03F58"/>
    <w:rsid w:val="00E04213"/>
    <w:rsid w:val="00E04403"/>
    <w:rsid w:val="00E04655"/>
    <w:rsid w:val="00E047D0"/>
    <w:rsid w:val="00E047D2"/>
    <w:rsid w:val="00E0492B"/>
    <w:rsid w:val="00E04D7D"/>
    <w:rsid w:val="00E04F2A"/>
    <w:rsid w:val="00E0540A"/>
    <w:rsid w:val="00E054DD"/>
    <w:rsid w:val="00E055B6"/>
    <w:rsid w:val="00E055E7"/>
    <w:rsid w:val="00E055F5"/>
    <w:rsid w:val="00E057B4"/>
    <w:rsid w:val="00E058C2"/>
    <w:rsid w:val="00E05A4A"/>
    <w:rsid w:val="00E05B27"/>
    <w:rsid w:val="00E05C28"/>
    <w:rsid w:val="00E06812"/>
    <w:rsid w:val="00E06CFD"/>
    <w:rsid w:val="00E06D8C"/>
    <w:rsid w:val="00E0707C"/>
    <w:rsid w:val="00E0728D"/>
    <w:rsid w:val="00E0733C"/>
    <w:rsid w:val="00E073F7"/>
    <w:rsid w:val="00E075AB"/>
    <w:rsid w:val="00E075D5"/>
    <w:rsid w:val="00E07665"/>
    <w:rsid w:val="00E0782A"/>
    <w:rsid w:val="00E079A7"/>
    <w:rsid w:val="00E07A10"/>
    <w:rsid w:val="00E07BDC"/>
    <w:rsid w:val="00E10002"/>
    <w:rsid w:val="00E10009"/>
    <w:rsid w:val="00E102E7"/>
    <w:rsid w:val="00E10361"/>
    <w:rsid w:val="00E103B8"/>
    <w:rsid w:val="00E10553"/>
    <w:rsid w:val="00E105BF"/>
    <w:rsid w:val="00E10A77"/>
    <w:rsid w:val="00E10B42"/>
    <w:rsid w:val="00E10C67"/>
    <w:rsid w:val="00E10C89"/>
    <w:rsid w:val="00E10D43"/>
    <w:rsid w:val="00E111A5"/>
    <w:rsid w:val="00E1140B"/>
    <w:rsid w:val="00E1143F"/>
    <w:rsid w:val="00E1161F"/>
    <w:rsid w:val="00E11649"/>
    <w:rsid w:val="00E11665"/>
    <w:rsid w:val="00E119D8"/>
    <w:rsid w:val="00E1214B"/>
    <w:rsid w:val="00E12704"/>
    <w:rsid w:val="00E12801"/>
    <w:rsid w:val="00E12983"/>
    <w:rsid w:val="00E12C07"/>
    <w:rsid w:val="00E12E4D"/>
    <w:rsid w:val="00E12FB1"/>
    <w:rsid w:val="00E12FEA"/>
    <w:rsid w:val="00E12FF9"/>
    <w:rsid w:val="00E1304C"/>
    <w:rsid w:val="00E13203"/>
    <w:rsid w:val="00E132B0"/>
    <w:rsid w:val="00E133F9"/>
    <w:rsid w:val="00E13748"/>
    <w:rsid w:val="00E138EE"/>
    <w:rsid w:val="00E13C5D"/>
    <w:rsid w:val="00E13E67"/>
    <w:rsid w:val="00E13E85"/>
    <w:rsid w:val="00E1410D"/>
    <w:rsid w:val="00E1431A"/>
    <w:rsid w:val="00E144C1"/>
    <w:rsid w:val="00E14810"/>
    <w:rsid w:val="00E148AF"/>
    <w:rsid w:val="00E14C0D"/>
    <w:rsid w:val="00E14C50"/>
    <w:rsid w:val="00E14D8E"/>
    <w:rsid w:val="00E14F64"/>
    <w:rsid w:val="00E15596"/>
    <w:rsid w:val="00E15F76"/>
    <w:rsid w:val="00E16665"/>
    <w:rsid w:val="00E16704"/>
    <w:rsid w:val="00E16758"/>
    <w:rsid w:val="00E1679E"/>
    <w:rsid w:val="00E168FB"/>
    <w:rsid w:val="00E16970"/>
    <w:rsid w:val="00E170F2"/>
    <w:rsid w:val="00E175B9"/>
    <w:rsid w:val="00E17793"/>
    <w:rsid w:val="00E177D7"/>
    <w:rsid w:val="00E17A36"/>
    <w:rsid w:val="00E17D5F"/>
    <w:rsid w:val="00E17DD2"/>
    <w:rsid w:val="00E17EFA"/>
    <w:rsid w:val="00E17F2A"/>
    <w:rsid w:val="00E17F77"/>
    <w:rsid w:val="00E17F7A"/>
    <w:rsid w:val="00E20030"/>
    <w:rsid w:val="00E204CB"/>
    <w:rsid w:val="00E205EE"/>
    <w:rsid w:val="00E20762"/>
    <w:rsid w:val="00E209A0"/>
    <w:rsid w:val="00E20AA3"/>
    <w:rsid w:val="00E20D71"/>
    <w:rsid w:val="00E2159F"/>
    <w:rsid w:val="00E215E0"/>
    <w:rsid w:val="00E21D37"/>
    <w:rsid w:val="00E21EF9"/>
    <w:rsid w:val="00E2233A"/>
    <w:rsid w:val="00E2247A"/>
    <w:rsid w:val="00E2279F"/>
    <w:rsid w:val="00E230B9"/>
    <w:rsid w:val="00E23168"/>
    <w:rsid w:val="00E231A5"/>
    <w:rsid w:val="00E23224"/>
    <w:rsid w:val="00E232CE"/>
    <w:rsid w:val="00E2347C"/>
    <w:rsid w:val="00E23689"/>
    <w:rsid w:val="00E23CAC"/>
    <w:rsid w:val="00E240E7"/>
    <w:rsid w:val="00E243AD"/>
    <w:rsid w:val="00E2451E"/>
    <w:rsid w:val="00E24554"/>
    <w:rsid w:val="00E246C1"/>
    <w:rsid w:val="00E24A7C"/>
    <w:rsid w:val="00E24A98"/>
    <w:rsid w:val="00E24ACF"/>
    <w:rsid w:val="00E24C0C"/>
    <w:rsid w:val="00E24F34"/>
    <w:rsid w:val="00E2544D"/>
    <w:rsid w:val="00E258CA"/>
    <w:rsid w:val="00E25C86"/>
    <w:rsid w:val="00E25E16"/>
    <w:rsid w:val="00E264E4"/>
    <w:rsid w:val="00E264F0"/>
    <w:rsid w:val="00E266C8"/>
    <w:rsid w:val="00E26A5B"/>
    <w:rsid w:val="00E271B9"/>
    <w:rsid w:val="00E27A45"/>
    <w:rsid w:val="00E27ACC"/>
    <w:rsid w:val="00E27C53"/>
    <w:rsid w:val="00E27C81"/>
    <w:rsid w:val="00E27CAD"/>
    <w:rsid w:val="00E27F1D"/>
    <w:rsid w:val="00E3004A"/>
    <w:rsid w:val="00E30130"/>
    <w:rsid w:val="00E302B1"/>
    <w:rsid w:val="00E30A80"/>
    <w:rsid w:val="00E30C47"/>
    <w:rsid w:val="00E30C85"/>
    <w:rsid w:val="00E30D99"/>
    <w:rsid w:val="00E314F0"/>
    <w:rsid w:val="00E31551"/>
    <w:rsid w:val="00E319FF"/>
    <w:rsid w:val="00E31C2A"/>
    <w:rsid w:val="00E31CCF"/>
    <w:rsid w:val="00E31D80"/>
    <w:rsid w:val="00E31ED6"/>
    <w:rsid w:val="00E32177"/>
    <w:rsid w:val="00E32223"/>
    <w:rsid w:val="00E326BA"/>
    <w:rsid w:val="00E327B5"/>
    <w:rsid w:val="00E3287A"/>
    <w:rsid w:val="00E32FDA"/>
    <w:rsid w:val="00E33034"/>
    <w:rsid w:val="00E330F3"/>
    <w:rsid w:val="00E3349C"/>
    <w:rsid w:val="00E339F2"/>
    <w:rsid w:val="00E33DA4"/>
    <w:rsid w:val="00E34567"/>
    <w:rsid w:val="00E3487E"/>
    <w:rsid w:val="00E34D00"/>
    <w:rsid w:val="00E35064"/>
    <w:rsid w:val="00E35172"/>
    <w:rsid w:val="00E35764"/>
    <w:rsid w:val="00E35BA4"/>
    <w:rsid w:val="00E35C59"/>
    <w:rsid w:val="00E35D31"/>
    <w:rsid w:val="00E35D39"/>
    <w:rsid w:val="00E35E5F"/>
    <w:rsid w:val="00E35F3C"/>
    <w:rsid w:val="00E361F0"/>
    <w:rsid w:val="00E36486"/>
    <w:rsid w:val="00E36734"/>
    <w:rsid w:val="00E36A74"/>
    <w:rsid w:val="00E36CA6"/>
    <w:rsid w:val="00E37212"/>
    <w:rsid w:val="00E37272"/>
    <w:rsid w:val="00E37355"/>
    <w:rsid w:val="00E375B1"/>
    <w:rsid w:val="00E37857"/>
    <w:rsid w:val="00E37EBA"/>
    <w:rsid w:val="00E400CA"/>
    <w:rsid w:val="00E401E7"/>
    <w:rsid w:val="00E4049E"/>
    <w:rsid w:val="00E404A0"/>
    <w:rsid w:val="00E41B54"/>
    <w:rsid w:val="00E42578"/>
    <w:rsid w:val="00E4267D"/>
    <w:rsid w:val="00E42830"/>
    <w:rsid w:val="00E42ED8"/>
    <w:rsid w:val="00E43111"/>
    <w:rsid w:val="00E43459"/>
    <w:rsid w:val="00E434B1"/>
    <w:rsid w:val="00E4392D"/>
    <w:rsid w:val="00E43B15"/>
    <w:rsid w:val="00E43EF2"/>
    <w:rsid w:val="00E4426E"/>
    <w:rsid w:val="00E44538"/>
    <w:rsid w:val="00E44626"/>
    <w:rsid w:val="00E44870"/>
    <w:rsid w:val="00E44934"/>
    <w:rsid w:val="00E44A92"/>
    <w:rsid w:val="00E44C48"/>
    <w:rsid w:val="00E44D1F"/>
    <w:rsid w:val="00E45202"/>
    <w:rsid w:val="00E45644"/>
    <w:rsid w:val="00E45927"/>
    <w:rsid w:val="00E45970"/>
    <w:rsid w:val="00E45BFA"/>
    <w:rsid w:val="00E45CC2"/>
    <w:rsid w:val="00E45E0B"/>
    <w:rsid w:val="00E460B7"/>
    <w:rsid w:val="00E462A4"/>
    <w:rsid w:val="00E46613"/>
    <w:rsid w:val="00E468B7"/>
    <w:rsid w:val="00E468BF"/>
    <w:rsid w:val="00E46B6A"/>
    <w:rsid w:val="00E46BAC"/>
    <w:rsid w:val="00E46D5D"/>
    <w:rsid w:val="00E47536"/>
    <w:rsid w:val="00E47A28"/>
    <w:rsid w:val="00E47A96"/>
    <w:rsid w:val="00E47B5D"/>
    <w:rsid w:val="00E47E8D"/>
    <w:rsid w:val="00E500CD"/>
    <w:rsid w:val="00E50413"/>
    <w:rsid w:val="00E50A61"/>
    <w:rsid w:val="00E50B4F"/>
    <w:rsid w:val="00E50B81"/>
    <w:rsid w:val="00E50F06"/>
    <w:rsid w:val="00E5110B"/>
    <w:rsid w:val="00E512B0"/>
    <w:rsid w:val="00E51CB3"/>
    <w:rsid w:val="00E5202C"/>
    <w:rsid w:val="00E52334"/>
    <w:rsid w:val="00E52366"/>
    <w:rsid w:val="00E5236F"/>
    <w:rsid w:val="00E525AE"/>
    <w:rsid w:val="00E525BB"/>
    <w:rsid w:val="00E52944"/>
    <w:rsid w:val="00E5298D"/>
    <w:rsid w:val="00E52B4E"/>
    <w:rsid w:val="00E52C02"/>
    <w:rsid w:val="00E52FAE"/>
    <w:rsid w:val="00E53320"/>
    <w:rsid w:val="00E534C6"/>
    <w:rsid w:val="00E536E9"/>
    <w:rsid w:val="00E5372E"/>
    <w:rsid w:val="00E539E5"/>
    <w:rsid w:val="00E53A31"/>
    <w:rsid w:val="00E53CCC"/>
    <w:rsid w:val="00E53D02"/>
    <w:rsid w:val="00E53FB5"/>
    <w:rsid w:val="00E54807"/>
    <w:rsid w:val="00E548D3"/>
    <w:rsid w:val="00E54A74"/>
    <w:rsid w:val="00E54EEA"/>
    <w:rsid w:val="00E5521F"/>
    <w:rsid w:val="00E55335"/>
    <w:rsid w:val="00E555A4"/>
    <w:rsid w:val="00E55B8A"/>
    <w:rsid w:val="00E55EA0"/>
    <w:rsid w:val="00E5625F"/>
    <w:rsid w:val="00E5639F"/>
    <w:rsid w:val="00E5662A"/>
    <w:rsid w:val="00E56669"/>
    <w:rsid w:val="00E56AA4"/>
    <w:rsid w:val="00E57031"/>
    <w:rsid w:val="00E570AF"/>
    <w:rsid w:val="00E5711E"/>
    <w:rsid w:val="00E573AE"/>
    <w:rsid w:val="00E577E3"/>
    <w:rsid w:val="00E57956"/>
    <w:rsid w:val="00E57A16"/>
    <w:rsid w:val="00E57B0B"/>
    <w:rsid w:val="00E57C6F"/>
    <w:rsid w:val="00E6012D"/>
    <w:rsid w:val="00E601D2"/>
    <w:rsid w:val="00E60457"/>
    <w:rsid w:val="00E6051A"/>
    <w:rsid w:val="00E6096C"/>
    <w:rsid w:val="00E610D2"/>
    <w:rsid w:val="00E611F0"/>
    <w:rsid w:val="00E61254"/>
    <w:rsid w:val="00E61255"/>
    <w:rsid w:val="00E615E0"/>
    <w:rsid w:val="00E6185D"/>
    <w:rsid w:val="00E618E8"/>
    <w:rsid w:val="00E61CC2"/>
    <w:rsid w:val="00E6213E"/>
    <w:rsid w:val="00E6276E"/>
    <w:rsid w:val="00E62AD4"/>
    <w:rsid w:val="00E62AF3"/>
    <w:rsid w:val="00E62B8B"/>
    <w:rsid w:val="00E62BF0"/>
    <w:rsid w:val="00E62DA4"/>
    <w:rsid w:val="00E62DF5"/>
    <w:rsid w:val="00E63050"/>
    <w:rsid w:val="00E6342F"/>
    <w:rsid w:val="00E636FE"/>
    <w:rsid w:val="00E637AC"/>
    <w:rsid w:val="00E63FBE"/>
    <w:rsid w:val="00E641C9"/>
    <w:rsid w:val="00E6431E"/>
    <w:rsid w:val="00E643F4"/>
    <w:rsid w:val="00E644FE"/>
    <w:rsid w:val="00E64A55"/>
    <w:rsid w:val="00E64B7F"/>
    <w:rsid w:val="00E64CE9"/>
    <w:rsid w:val="00E650B5"/>
    <w:rsid w:val="00E65256"/>
    <w:rsid w:val="00E653B4"/>
    <w:rsid w:val="00E654A8"/>
    <w:rsid w:val="00E65605"/>
    <w:rsid w:val="00E65618"/>
    <w:rsid w:val="00E657A6"/>
    <w:rsid w:val="00E65A46"/>
    <w:rsid w:val="00E66252"/>
    <w:rsid w:val="00E664AA"/>
    <w:rsid w:val="00E66BFF"/>
    <w:rsid w:val="00E66C15"/>
    <w:rsid w:val="00E67115"/>
    <w:rsid w:val="00E673E8"/>
    <w:rsid w:val="00E676BE"/>
    <w:rsid w:val="00E676E2"/>
    <w:rsid w:val="00E67968"/>
    <w:rsid w:val="00E679CB"/>
    <w:rsid w:val="00E70111"/>
    <w:rsid w:val="00E70170"/>
    <w:rsid w:val="00E701E3"/>
    <w:rsid w:val="00E70375"/>
    <w:rsid w:val="00E706F1"/>
    <w:rsid w:val="00E708F2"/>
    <w:rsid w:val="00E71316"/>
    <w:rsid w:val="00E71B79"/>
    <w:rsid w:val="00E71E49"/>
    <w:rsid w:val="00E720D5"/>
    <w:rsid w:val="00E72223"/>
    <w:rsid w:val="00E724E8"/>
    <w:rsid w:val="00E7273A"/>
    <w:rsid w:val="00E72886"/>
    <w:rsid w:val="00E7293A"/>
    <w:rsid w:val="00E72AA6"/>
    <w:rsid w:val="00E73056"/>
    <w:rsid w:val="00E7378B"/>
    <w:rsid w:val="00E737CC"/>
    <w:rsid w:val="00E73C76"/>
    <w:rsid w:val="00E73E53"/>
    <w:rsid w:val="00E73E72"/>
    <w:rsid w:val="00E73E8C"/>
    <w:rsid w:val="00E73FB7"/>
    <w:rsid w:val="00E73FBD"/>
    <w:rsid w:val="00E74266"/>
    <w:rsid w:val="00E746F6"/>
    <w:rsid w:val="00E747F3"/>
    <w:rsid w:val="00E74D0B"/>
    <w:rsid w:val="00E74D45"/>
    <w:rsid w:val="00E74DDC"/>
    <w:rsid w:val="00E74F8E"/>
    <w:rsid w:val="00E75102"/>
    <w:rsid w:val="00E7513E"/>
    <w:rsid w:val="00E75A3A"/>
    <w:rsid w:val="00E75BA1"/>
    <w:rsid w:val="00E75BC0"/>
    <w:rsid w:val="00E75BD7"/>
    <w:rsid w:val="00E75DDD"/>
    <w:rsid w:val="00E75E01"/>
    <w:rsid w:val="00E75FE6"/>
    <w:rsid w:val="00E760CE"/>
    <w:rsid w:val="00E76588"/>
    <w:rsid w:val="00E76957"/>
    <w:rsid w:val="00E76AE4"/>
    <w:rsid w:val="00E76CFA"/>
    <w:rsid w:val="00E76ED2"/>
    <w:rsid w:val="00E7701E"/>
    <w:rsid w:val="00E7728B"/>
    <w:rsid w:val="00E7735F"/>
    <w:rsid w:val="00E773A7"/>
    <w:rsid w:val="00E77407"/>
    <w:rsid w:val="00E77825"/>
    <w:rsid w:val="00E7784C"/>
    <w:rsid w:val="00E77A17"/>
    <w:rsid w:val="00E77A73"/>
    <w:rsid w:val="00E77BE7"/>
    <w:rsid w:val="00E77DFA"/>
    <w:rsid w:val="00E77E55"/>
    <w:rsid w:val="00E77E58"/>
    <w:rsid w:val="00E8016B"/>
    <w:rsid w:val="00E802E0"/>
    <w:rsid w:val="00E80476"/>
    <w:rsid w:val="00E806CE"/>
    <w:rsid w:val="00E80DC3"/>
    <w:rsid w:val="00E80DEB"/>
    <w:rsid w:val="00E80FEC"/>
    <w:rsid w:val="00E81258"/>
    <w:rsid w:val="00E81614"/>
    <w:rsid w:val="00E81798"/>
    <w:rsid w:val="00E817CD"/>
    <w:rsid w:val="00E81D5F"/>
    <w:rsid w:val="00E820BC"/>
    <w:rsid w:val="00E8218D"/>
    <w:rsid w:val="00E821CE"/>
    <w:rsid w:val="00E824D7"/>
    <w:rsid w:val="00E8256E"/>
    <w:rsid w:val="00E825F2"/>
    <w:rsid w:val="00E8273B"/>
    <w:rsid w:val="00E827C4"/>
    <w:rsid w:val="00E82971"/>
    <w:rsid w:val="00E82B6B"/>
    <w:rsid w:val="00E82EB7"/>
    <w:rsid w:val="00E830D3"/>
    <w:rsid w:val="00E8344E"/>
    <w:rsid w:val="00E8391F"/>
    <w:rsid w:val="00E83977"/>
    <w:rsid w:val="00E83BC5"/>
    <w:rsid w:val="00E83BDE"/>
    <w:rsid w:val="00E83CF9"/>
    <w:rsid w:val="00E83E88"/>
    <w:rsid w:val="00E84066"/>
    <w:rsid w:val="00E840A3"/>
    <w:rsid w:val="00E8453C"/>
    <w:rsid w:val="00E84D3C"/>
    <w:rsid w:val="00E84F9D"/>
    <w:rsid w:val="00E84FD9"/>
    <w:rsid w:val="00E85163"/>
    <w:rsid w:val="00E85210"/>
    <w:rsid w:val="00E8525D"/>
    <w:rsid w:val="00E85512"/>
    <w:rsid w:val="00E857F7"/>
    <w:rsid w:val="00E85EC4"/>
    <w:rsid w:val="00E85F12"/>
    <w:rsid w:val="00E8601E"/>
    <w:rsid w:val="00E86060"/>
    <w:rsid w:val="00E865AF"/>
    <w:rsid w:val="00E86730"/>
    <w:rsid w:val="00E86798"/>
    <w:rsid w:val="00E86FA4"/>
    <w:rsid w:val="00E8707B"/>
    <w:rsid w:val="00E8789D"/>
    <w:rsid w:val="00E87948"/>
    <w:rsid w:val="00E8795D"/>
    <w:rsid w:val="00E87CEC"/>
    <w:rsid w:val="00E903BA"/>
    <w:rsid w:val="00E9078E"/>
    <w:rsid w:val="00E908B0"/>
    <w:rsid w:val="00E911C1"/>
    <w:rsid w:val="00E9152A"/>
    <w:rsid w:val="00E91B73"/>
    <w:rsid w:val="00E91DD7"/>
    <w:rsid w:val="00E91DDF"/>
    <w:rsid w:val="00E92076"/>
    <w:rsid w:val="00E92104"/>
    <w:rsid w:val="00E923A2"/>
    <w:rsid w:val="00E925AA"/>
    <w:rsid w:val="00E92648"/>
    <w:rsid w:val="00E9299D"/>
    <w:rsid w:val="00E92A05"/>
    <w:rsid w:val="00E92AF0"/>
    <w:rsid w:val="00E9349C"/>
    <w:rsid w:val="00E9353F"/>
    <w:rsid w:val="00E93629"/>
    <w:rsid w:val="00E93969"/>
    <w:rsid w:val="00E93A64"/>
    <w:rsid w:val="00E93C32"/>
    <w:rsid w:val="00E9415F"/>
    <w:rsid w:val="00E941FA"/>
    <w:rsid w:val="00E9486E"/>
    <w:rsid w:val="00E9491B"/>
    <w:rsid w:val="00E94A7D"/>
    <w:rsid w:val="00E94F44"/>
    <w:rsid w:val="00E9526E"/>
    <w:rsid w:val="00E952A4"/>
    <w:rsid w:val="00E953B8"/>
    <w:rsid w:val="00E953D0"/>
    <w:rsid w:val="00E9566B"/>
    <w:rsid w:val="00E95C25"/>
    <w:rsid w:val="00E96005"/>
    <w:rsid w:val="00E96330"/>
    <w:rsid w:val="00E96337"/>
    <w:rsid w:val="00E96520"/>
    <w:rsid w:val="00E9659F"/>
    <w:rsid w:val="00E965AF"/>
    <w:rsid w:val="00E965F1"/>
    <w:rsid w:val="00E966EA"/>
    <w:rsid w:val="00E968D3"/>
    <w:rsid w:val="00E96AE6"/>
    <w:rsid w:val="00E972CF"/>
    <w:rsid w:val="00E975CE"/>
    <w:rsid w:val="00E97C64"/>
    <w:rsid w:val="00EA0459"/>
    <w:rsid w:val="00EA047A"/>
    <w:rsid w:val="00EA0B35"/>
    <w:rsid w:val="00EA1142"/>
    <w:rsid w:val="00EA11F7"/>
    <w:rsid w:val="00EA12DE"/>
    <w:rsid w:val="00EA14EB"/>
    <w:rsid w:val="00EA166F"/>
    <w:rsid w:val="00EA1680"/>
    <w:rsid w:val="00EA1A78"/>
    <w:rsid w:val="00EA1DDD"/>
    <w:rsid w:val="00EA2479"/>
    <w:rsid w:val="00EA2491"/>
    <w:rsid w:val="00EA24FA"/>
    <w:rsid w:val="00EA258F"/>
    <w:rsid w:val="00EA2625"/>
    <w:rsid w:val="00EA2C60"/>
    <w:rsid w:val="00EA2D2C"/>
    <w:rsid w:val="00EA2DEE"/>
    <w:rsid w:val="00EA2F6D"/>
    <w:rsid w:val="00EA378B"/>
    <w:rsid w:val="00EA3841"/>
    <w:rsid w:val="00EA38D6"/>
    <w:rsid w:val="00EA3C4B"/>
    <w:rsid w:val="00EA4314"/>
    <w:rsid w:val="00EA4346"/>
    <w:rsid w:val="00EA4B5A"/>
    <w:rsid w:val="00EA4C79"/>
    <w:rsid w:val="00EA4E95"/>
    <w:rsid w:val="00EA501F"/>
    <w:rsid w:val="00EA50B2"/>
    <w:rsid w:val="00EA5446"/>
    <w:rsid w:val="00EA5A2D"/>
    <w:rsid w:val="00EA5CFD"/>
    <w:rsid w:val="00EA5DBE"/>
    <w:rsid w:val="00EA6079"/>
    <w:rsid w:val="00EA609B"/>
    <w:rsid w:val="00EA65C2"/>
    <w:rsid w:val="00EA69BE"/>
    <w:rsid w:val="00EA6F1C"/>
    <w:rsid w:val="00EA7026"/>
    <w:rsid w:val="00EA7145"/>
    <w:rsid w:val="00EA790D"/>
    <w:rsid w:val="00EA7AC6"/>
    <w:rsid w:val="00EA7CAC"/>
    <w:rsid w:val="00EA7E91"/>
    <w:rsid w:val="00EA7F96"/>
    <w:rsid w:val="00EB017C"/>
    <w:rsid w:val="00EB0413"/>
    <w:rsid w:val="00EB0475"/>
    <w:rsid w:val="00EB08D3"/>
    <w:rsid w:val="00EB0A51"/>
    <w:rsid w:val="00EB0A94"/>
    <w:rsid w:val="00EB0BF0"/>
    <w:rsid w:val="00EB0C2F"/>
    <w:rsid w:val="00EB0DA0"/>
    <w:rsid w:val="00EB1072"/>
    <w:rsid w:val="00EB1342"/>
    <w:rsid w:val="00EB1510"/>
    <w:rsid w:val="00EB164A"/>
    <w:rsid w:val="00EB1822"/>
    <w:rsid w:val="00EB1AB3"/>
    <w:rsid w:val="00EB1C58"/>
    <w:rsid w:val="00EB26A0"/>
    <w:rsid w:val="00EB26E9"/>
    <w:rsid w:val="00EB2F2D"/>
    <w:rsid w:val="00EB3177"/>
    <w:rsid w:val="00EB32AD"/>
    <w:rsid w:val="00EB34B3"/>
    <w:rsid w:val="00EB373C"/>
    <w:rsid w:val="00EB3A37"/>
    <w:rsid w:val="00EB3ABA"/>
    <w:rsid w:val="00EB3D99"/>
    <w:rsid w:val="00EB3EB4"/>
    <w:rsid w:val="00EB3F6D"/>
    <w:rsid w:val="00EB3FFF"/>
    <w:rsid w:val="00EB4183"/>
    <w:rsid w:val="00EB4227"/>
    <w:rsid w:val="00EB4327"/>
    <w:rsid w:val="00EB4583"/>
    <w:rsid w:val="00EB46FE"/>
    <w:rsid w:val="00EB4887"/>
    <w:rsid w:val="00EB4FD4"/>
    <w:rsid w:val="00EB4FDC"/>
    <w:rsid w:val="00EB5447"/>
    <w:rsid w:val="00EB5478"/>
    <w:rsid w:val="00EB547C"/>
    <w:rsid w:val="00EB58AA"/>
    <w:rsid w:val="00EB5B9A"/>
    <w:rsid w:val="00EB5D6A"/>
    <w:rsid w:val="00EB5EEB"/>
    <w:rsid w:val="00EB5F71"/>
    <w:rsid w:val="00EB622D"/>
    <w:rsid w:val="00EB6525"/>
    <w:rsid w:val="00EB660F"/>
    <w:rsid w:val="00EB6E06"/>
    <w:rsid w:val="00EB7156"/>
    <w:rsid w:val="00EB720D"/>
    <w:rsid w:val="00EB72E7"/>
    <w:rsid w:val="00EB73B6"/>
    <w:rsid w:val="00EB773E"/>
    <w:rsid w:val="00EB7BA1"/>
    <w:rsid w:val="00EC0681"/>
    <w:rsid w:val="00EC0AE9"/>
    <w:rsid w:val="00EC0D78"/>
    <w:rsid w:val="00EC0F47"/>
    <w:rsid w:val="00EC15AE"/>
    <w:rsid w:val="00EC17B6"/>
    <w:rsid w:val="00EC18E8"/>
    <w:rsid w:val="00EC1A3D"/>
    <w:rsid w:val="00EC1D0C"/>
    <w:rsid w:val="00EC2297"/>
    <w:rsid w:val="00EC298F"/>
    <w:rsid w:val="00EC29FF"/>
    <w:rsid w:val="00EC2C24"/>
    <w:rsid w:val="00EC2C59"/>
    <w:rsid w:val="00EC2DE1"/>
    <w:rsid w:val="00EC2E8D"/>
    <w:rsid w:val="00EC318A"/>
    <w:rsid w:val="00EC32C5"/>
    <w:rsid w:val="00EC3341"/>
    <w:rsid w:val="00EC351C"/>
    <w:rsid w:val="00EC35F2"/>
    <w:rsid w:val="00EC3C91"/>
    <w:rsid w:val="00EC3F2C"/>
    <w:rsid w:val="00EC44B3"/>
    <w:rsid w:val="00EC44D8"/>
    <w:rsid w:val="00EC46ED"/>
    <w:rsid w:val="00EC51A3"/>
    <w:rsid w:val="00EC5259"/>
    <w:rsid w:val="00EC5407"/>
    <w:rsid w:val="00EC581F"/>
    <w:rsid w:val="00EC5994"/>
    <w:rsid w:val="00EC5A64"/>
    <w:rsid w:val="00EC5C29"/>
    <w:rsid w:val="00EC6157"/>
    <w:rsid w:val="00EC638B"/>
    <w:rsid w:val="00EC63AD"/>
    <w:rsid w:val="00EC646D"/>
    <w:rsid w:val="00EC68D2"/>
    <w:rsid w:val="00EC69B7"/>
    <w:rsid w:val="00EC6AA2"/>
    <w:rsid w:val="00EC6CCB"/>
    <w:rsid w:val="00EC6EC4"/>
    <w:rsid w:val="00EC6F07"/>
    <w:rsid w:val="00EC737E"/>
    <w:rsid w:val="00EC784E"/>
    <w:rsid w:val="00ED010F"/>
    <w:rsid w:val="00ED01E9"/>
    <w:rsid w:val="00ED02E5"/>
    <w:rsid w:val="00ED0BB4"/>
    <w:rsid w:val="00ED0DA9"/>
    <w:rsid w:val="00ED0DFC"/>
    <w:rsid w:val="00ED104C"/>
    <w:rsid w:val="00ED1331"/>
    <w:rsid w:val="00ED196D"/>
    <w:rsid w:val="00ED1D13"/>
    <w:rsid w:val="00ED1DD8"/>
    <w:rsid w:val="00ED21A3"/>
    <w:rsid w:val="00ED21BC"/>
    <w:rsid w:val="00ED23F9"/>
    <w:rsid w:val="00ED24BC"/>
    <w:rsid w:val="00ED272C"/>
    <w:rsid w:val="00ED28BD"/>
    <w:rsid w:val="00ED2907"/>
    <w:rsid w:val="00ED2970"/>
    <w:rsid w:val="00ED297E"/>
    <w:rsid w:val="00ED32C8"/>
    <w:rsid w:val="00ED3613"/>
    <w:rsid w:val="00ED361B"/>
    <w:rsid w:val="00ED36BE"/>
    <w:rsid w:val="00ED3B10"/>
    <w:rsid w:val="00ED3B5B"/>
    <w:rsid w:val="00ED3B91"/>
    <w:rsid w:val="00ED3BC0"/>
    <w:rsid w:val="00ED3FB3"/>
    <w:rsid w:val="00ED427A"/>
    <w:rsid w:val="00ED42AE"/>
    <w:rsid w:val="00ED4320"/>
    <w:rsid w:val="00ED4C32"/>
    <w:rsid w:val="00ED4C34"/>
    <w:rsid w:val="00ED4E47"/>
    <w:rsid w:val="00ED4E61"/>
    <w:rsid w:val="00ED4E74"/>
    <w:rsid w:val="00ED50C2"/>
    <w:rsid w:val="00ED54CE"/>
    <w:rsid w:val="00ED623F"/>
    <w:rsid w:val="00ED62B0"/>
    <w:rsid w:val="00ED636B"/>
    <w:rsid w:val="00ED6781"/>
    <w:rsid w:val="00ED6870"/>
    <w:rsid w:val="00ED6AD6"/>
    <w:rsid w:val="00ED6BCA"/>
    <w:rsid w:val="00ED6CAF"/>
    <w:rsid w:val="00ED6D17"/>
    <w:rsid w:val="00ED73B8"/>
    <w:rsid w:val="00ED780D"/>
    <w:rsid w:val="00ED7851"/>
    <w:rsid w:val="00ED7D57"/>
    <w:rsid w:val="00ED7E26"/>
    <w:rsid w:val="00ED7E54"/>
    <w:rsid w:val="00EE0096"/>
    <w:rsid w:val="00EE03AF"/>
    <w:rsid w:val="00EE0813"/>
    <w:rsid w:val="00EE0901"/>
    <w:rsid w:val="00EE0CD2"/>
    <w:rsid w:val="00EE0D90"/>
    <w:rsid w:val="00EE190B"/>
    <w:rsid w:val="00EE199E"/>
    <w:rsid w:val="00EE1BA4"/>
    <w:rsid w:val="00EE1D3C"/>
    <w:rsid w:val="00EE2120"/>
    <w:rsid w:val="00EE257B"/>
    <w:rsid w:val="00EE28DE"/>
    <w:rsid w:val="00EE2A7D"/>
    <w:rsid w:val="00EE2AAA"/>
    <w:rsid w:val="00EE30F0"/>
    <w:rsid w:val="00EE374D"/>
    <w:rsid w:val="00EE3B87"/>
    <w:rsid w:val="00EE3C8E"/>
    <w:rsid w:val="00EE3E31"/>
    <w:rsid w:val="00EE3FDA"/>
    <w:rsid w:val="00EE4192"/>
    <w:rsid w:val="00EE4353"/>
    <w:rsid w:val="00EE43CF"/>
    <w:rsid w:val="00EE4548"/>
    <w:rsid w:val="00EE45A7"/>
    <w:rsid w:val="00EE48C8"/>
    <w:rsid w:val="00EE49A0"/>
    <w:rsid w:val="00EE4BCF"/>
    <w:rsid w:val="00EE4F43"/>
    <w:rsid w:val="00EE4FB2"/>
    <w:rsid w:val="00EE52F1"/>
    <w:rsid w:val="00EE5379"/>
    <w:rsid w:val="00EE5972"/>
    <w:rsid w:val="00EE60D5"/>
    <w:rsid w:val="00EE6777"/>
    <w:rsid w:val="00EE6E44"/>
    <w:rsid w:val="00EE709B"/>
    <w:rsid w:val="00EE79EE"/>
    <w:rsid w:val="00EE7A45"/>
    <w:rsid w:val="00EE7BCE"/>
    <w:rsid w:val="00EF0286"/>
    <w:rsid w:val="00EF067D"/>
    <w:rsid w:val="00EF0782"/>
    <w:rsid w:val="00EF07FA"/>
    <w:rsid w:val="00EF08A6"/>
    <w:rsid w:val="00EF0A59"/>
    <w:rsid w:val="00EF0CA9"/>
    <w:rsid w:val="00EF1512"/>
    <w:rsid w:val="00EF156A"/>
    <w:rsid w:val="00EF1959"/>
    <w:rsid w:val="00EF1976"/>
    <w:rsid w:val="00EF1CA8"/>
    <w:rsid w:val="00EF1F58"/>
    <w:rsid w:val="00EF1FD9"/>
    <w:rsid w:val="00EF2A02"/>
    <w:rsid w:val="00EF2D7F"/>
    <w:rsid w:val="00EF2E43"/>
    <w:rsid w:val="00EF2F72"/>
    <w:rsid w:val="00EF302F"/>
    <w:rsid w:val="00EF32DA"/>
    <w:rsid w:val="00EF37DB"/>
    <w:rsid w:val="00EF3897"/>
    <w:rsid w:val="00EF3AAB"/>
    <w:rsid w:val="00EF3E81"/>
    <w:rsid w:val="00EF3FD6"/>
    <w:rsid w:val="00EF4098"/>
    <w:rsid w:val="00EF4531"/>
    <w:rsid w:val="00EF45FF"/>
    <w:rsid w:val="00EF4BB7"/>
    <w:rsid w:val="00EF4E56"/>
    <w:rsid w:val="00EF4FD4"/>
    <w:rsid w:val="00EF50A1"/>
    <w:rsid w:val="00EF59D1"/>
    <w:rsid w:val="00EF5C9E"/>
    <w:rsid w:val="00EF5DE3"/>
    <w:rsid w:val="00EF5F51"/>
    <w:rsid w:val="00EF6081"/>
    <w:rsid w:val="00EF645F"/>
    <w:rsid w:val="00EF67E5"/>
    <w:rsid w:val="00EF6842"/>
    <w:rsid w:val="00EF6AAC"/>
    <w:rsid w:val="00EF6CCE"/>
    <w:rsid w:val="00EF72BF"/>
    <w:rsid w:val="00EF72CB"/>
    <w:rsid w:val="00EF7ACD"/>
    <w:rsid w:val="00F0001F"/>
    <w:rsid w:val="00F00277"/>
    <w:rsid w:val="00F0056D"/>
    <w:rsid w:val="00F00659"/>
    <w:rsid w:val="00F0080D"/>
    <w:rsid w:val="00F00A49"/>
    <w:rsid w:val="00F00F22"/>
    <w:rsid w:val="00F0108A"/>
    <w:rsid w:val="00F01771"/>
    <w:rsid w:val="00F017E5"/>
    <w:rsid w:val="00F01FAA"/>
    <w:rsid w:val="00F02173"/>
    <w:rsid w:val="00F02379"/>
    <w:rsid w:val="00F0280B"/>
    <w:rsid w:val="00F02935"/>
    <w:rsid w:val="00F02C39"/>
    <w:rsid w:val="00F02CCF"/>
    <w:rsid w:val="00F031F7"/>
    <w:rsid w:val="00F03900"/>
    <w:rsid w:val="00F03D28"/>
    <w:rsid w:val="00F03D5E"/>
    <w:rsid w:val="00F0408D"/>
    <w:rsid w:val="00F041FA"/>
    <w:rsid w:val="00F04626"/>
    <w:rsid w:val="00F047B8"/>
    <w:rsid w:val="00F04D07"/>
    <w:rsid w:val="00F050FE"/>
    <w:rsid w:val="00F05DBC"/>
    <w:rsid w:val="00F06962"/>
    <w:rsid w:val="00F06AB5"/>
    <w:rsid w:val="00F06E66"/>
    <w:rsid w:val="00F0733C"/>
    <w:rsid w:val="00F078F9"/>
    <w:rsid w:val="00F079E8"/>
    <w:rsid w:val="00F07A66"/>
    <w:rsid w:val="00F07C57"/>
    <w:rsid w:val="00F07D77"/>
    <w:rsid w:val="00F07EA1"/>
    <w:rsid w:val="00F07FD7"/>
    <w:rsid w:val="00F10454"/>
    <w:rsid w:val="00F106E7"/>
    <w:rsid w:val="00F10770"/>
    <w:rsid w:val="00F108A4"/>
    <w:rsid w:val="00F10A2F"/>
    <w:rsid w:val="00F10B29"/>
    <w:rsid w:val="00F10E72"/>
    <w:rsid w:val="00F10EE3"/>
    <w:rsid w:val="00F11121"/>
    <w:rsid w:val="00F1135E"/>
    <w:rsid w:val="00F1136E"/>
    <w:rsid w:val="00F114F9"/>
    <w:rsid w:val="00F11A97"/>
    <w:rsid w:val="00F11C0A"/>
    <w:rsid w:val="00F12142"/>
    <w:rsid w:val="00F12430"/>
    <w:rsid w:val="00F12629"/>
    <w:rsid w:val="00F1269E"/>
    <w:rsid w:val="00F12DF2"/>
    <w:rsid w:val="00F12EFB"/>
    <w:rsid w:val="00F1323B"/>
    <w:rsid w:val="00F135D3"/>
    <w:rsid w:val="00F13601"/>
    <w:rsid w:val="00F13658"/>
    <w:rsid w:val="00F13686"/>
    <w:rsid w:val="00F138B2"/>
    <w:rsid w:val="00F138E5"/>
    <w:rsid w:val="00F13904"/>
    <w:rsid w:val="00F13C5F"/>
    <w:rsid w:val="00F14A82"/>
    <w:rsid w:val="00F14EA9"/>
    <w:rsid w:val="00F15152"/>
    <w:rsid w:val="00F152C9"/>
    <w:rsid w:val="00F1537B"/>
    <w:rsid w:val="00F15486"/>
    <w:rsid w:val="00F15517"/>
    <w:rsid w:val="00F156E7"/>
    <w:rsid w:val="00F15878"/>
    <w:rsid w:val="00F158CC"/>
    <w:rsid w:val="00F15B96"/>
    <w:rsid w:val="00F15C95"/>
    <w:rsid w:val="00F15E55"/>
    <w:rsid w:val="00F16092"/>
    <w:rsid w:val="00F1628F"/>
    <w:rsid w:val="00F16465"/>
    <w:rsid w:val="00F167F4"/>
    <w:rsid w:val="00F168CE"/>
    <w:rsid w:val="00F16A2F"/>
    <w:rsid w:val="00F16B4B"/>
    <w:rsid w:val="00F16D62"/>
    <w:rsid w:val="00F16F74"/>
    <w:rsid w:val="00F1714E"/>
    <w:rsid w:val="00F17579"/>
    <w:rsid w:val="00F17BA8"/>
    <w:rsid w:val="00F17DCB"/>
    <w:rsid w:val="00F20093"/>
    <w:rsid w:val="00F20225"/>
    <w:rsid w:val="00F205DE"/>
    <w:rsid w:val="00F20A07"/>
    <w:rsid w:val="00F21376"/>
    <w:rsid w:val="00F21616"/>
    <w:rsid w:val="00F218B0"/>
    <w:rsid w:val="00F21CBF"/>
    <w:rsid w:val="00F21F0E"/>
    <w:rsid w:val="00F21FA3"/>
    <w:rsid w:val="00F222BC"/>
    <w:rsid w:val="00F2239B"/>
    <w:rsid w:val="00F2267E"/>
    <w:rsid w:val="00F22789"/>
    <w:rsid w:val="00F227CB"/>
    <w:rsid w:val="00F227DD"/>
    <w:rsid w:val="00F2292F"/>
    <w:rsid w:val="00F22CB7"/>
    <w:rsid w:val="00F22E0A"/>
    <w:rsid w:val="00F230A1"/>
    <w:rsid w:val="00F232FC"/>
    <w:rsid w:val="00F23707"/>
    <w:rsid w:val="00F24178"/>
    <w:rsid w:val="00F242C8"/>
    <w:rsid w:val="00F24555"/>
    <w:rsid w:val="00F24705"/>
    <w:rsid w:val="00F24777"/>
    <w:rsid w:val="00F247B9"/>
    <w:rsid w:val="00F249C8"/>
    <w:rsid w:val="00F24D53"/>
    <w:rsid w:val="00F24DE2"/>
    <w:rsid w:val="00F24FEA"/>
    <w:rsid w:val="00F25121"/>
    <w:rsid w:val="00F2553C"/>
    <w:rsid w:val="00F25631"/>
    <w:rsid w:val="00F257B6"/>
    <w:rsid w:val="00F258CB"/>
    <w:rsid w:val="00F25AD3"/>
    <w:rsid w:val="00F25C10"/>
    <w:rsid w:val="00F25FFF"/>
    <w:rsid w:val="00F26023"/>
    <w:rsid w:val="00F26155"/>
    <w:rsid w:val="00F262C4"/>
    <w:rsid w:val="00F26C97"/>
    <w:rsid w:val="00F26DFD"/>
    <w:rsid w:val="00F270C2"/>
    <w:rsid w:val="00F27423"/>
    <w:rsid w:val="00F275EF"/>
    <w:rsid w:val="00F27BC1"/>
    <w:rsid w:val="00F27DAA"/>
    <w:rsid w:val="00F3001D"/>
    <w:rsid w:val="00F304FE"/>
    <w:rsid w:val="00F306FB"/>
    <w:rsid w:val="00F30DDD"/>
    <w:rsid w:val="00F30F96"/>
    <w:rsid w:val="00F312C9"/>
    <w:rsid w:val="00F316BA"/>
    <w:rsid w:val="00F31854"/>
    <w:rsid w:val="00F31DD7"/>
    <w:rsid w:val="00F31E31"/>
    <w:rsid w:val="00F31F05"/>
    <w:rsid w:val="00F31F70"/>
    <w:rsid w:val="00F322BC"/>
    <w:rsid w:val="00F323BD"/>
    <w:rsid w:val="00F3289B"/>
    <w:rsid w:val="00F3327F"/>
    <w:rsid w:val="00F33453"/>
    <w:rsid w:val="00F338FA"/>
    <w:rsid w:val="00F33CC8"/>
    <w:rsid w:val="00F33E0D"/>
    <w:rsid w:val="00F33F84"/>
    <w:rsid w:val="00F3400D"/>
    <w:rsid w:val="00F342A2"/>
    <w:rsid w:val="00F3431A"/>
    <w:rsid w:val="00F34336"/>
    <w:rsid w:val="00F343EC"/>
    <w:rsid w:val="00F348A1"/>
    <w:rsid w:val="00F34E7A"/>
    <w:rsid w:val="00F35183"/>
    <w:rsid w:val="00F351D9"/>
    <w:rsid w:val="00F35761"/>
    <w:rsid w:val="00F35AB7"/>
    <w:rsid w:val="00F35B7E"/>
    <w:rsid w:val="00F361EA"/>
    <w:rsid w:val="00F369B5"/>
    <w:rsid w:val="00F36D2D"/>
    <w:rsid w:val="00F36D98"/>
    <w:rsid w:val="00F37692"/>
    <w:rsid w:val="00F377C3"/>
    <w:rsid w:val="00F37A99"/>
    <w:rsid w:val="00F37E22"/>
    <w:rsid w:val="00F40126"/>
    <w:rsid w:val="00F4039C"/>
    <w:rsid w:val="00F409C2"/>
    <w:rsid w:val="00F40DB2"/>
    <w:rsid w:val="00F40E96"/>
    <w:rsid w:val="00F40EBF"/>
    <w:rsid w:val="00F4108E"/>
    <w:rsid w:val="00F4119A"/>
    <w:rsid w:val="00F41416"/>
    <w:rsid w:val="00F4154B"/>
    <w:rsid w:val="00F41B59"/>
    <w:rsid w:val="00F4201F"/>
    <w:rsid w:val="00F421C9"/>
    <w:rsid w:val="00F422F4"/>
    <w:rsid w:val="00F42303"/>
    <w:rsid w:val="00F423AD"/>
    <w:rsid w:val="00F42554"/>
    <w:rsid w:val="00F42756"/>
    <w:rsid w:val="00F427FF"/>
    <w:rsid w:val="00F42B5E"/>
    <w:rsid w:val="00F43350"/>
    <w:rsid w:val="00F4360D"/>
    <w:rsid w:val="00F43AA6"/>
    <w:rsid w:val="00F43C6A"/>
    <w:rsid w:val="00F43CBA"/>
    <w:rsid w:val="00F43F04"/>
    <w:rsid w:val="00F44042"/>
    <w:rsid w:val="00F4412E"/>
    <w:rsid w:val="00F441F9"/>
    <w:rsid w:val="00F4449B"/>
    <w:rsid w:val="00F44600"/>
    <w:rsid w:val="00F4480A"/>
    <w:rsid w:val="00F44C84"/>
    <w:rsid w:val="00F44D16"/>
    <w:rsid w:val="00F44D5D"/>
    <w:rsid w:val="00F44ECA"/>
    <w:rsid w:val="00F4555E"/>
    <w:rsid w:val="00F45705"/>
    <w:rsid w:val="00F45706"/>
    <w:rsid w:val="00F45F17"/>
    <w:rsid w:val="00F467BD"/>
    <w:rsid w:val="00F4680A"/>
    <w:rsid w:val="00F468A1"/>
    <w:rsid w:val="00F469D8"/>
    <w:rsid w:val="00F46CB1"/>
    <w:rsid w:val="00F47659"/>
    <w:rsid w:val="00F477CC"/>
    <w:rsid w:val="00F47904"/>
    <w:rsid w:val="00F47A3C"/>
    <w:rsid w:val="00F47DDC"/>
    <w:rsid w:val="00F50033"/>
    <w:rsid w:val="00F5006D"/>
    <w:rsid w:val="00F50172"/>
    <w:rsid w:val="00F5021C"/>
    <w:rsid w:val="00F5042A"/>
    <w:rsid w:val="00F50467"/>
    <w:rsid w:val="00F504F7"/>
    <w:rsid w:val="00F50505"/>
    <w:rsid w:val="00F506C9"/>
    <w:rsid w:val="00F50A19"/>
    <w:rsid w:val="00F51A00"/>
    <w:rsid w:val="00F51CB8"/>
    <w:rsid w:val="00F521C7"/>
    <w:rsid w:val="00F52228"/>
    <w:rsid w:val="00F52351"/>
    <w:rsid w:val="00F5243E"/>
    <w:rsid w:val="00F526D7"/>
    <w:rsid w:val="00F52F92"/>
    <w:rsid w:val="00F53087"/>
    <w:rsid w:val="00F531E8"/>
    <w:rsid w:val="00F532CF"/>
    <w:rsid w:val="00F53564"/>
    <w:rsid w:val="00F53A70"/>
    <w:rsid w:val="00F53ADC"/>
    <w:rsid w:val="00F53DA6"/>
    <w:rsid w:val="00F53E87"/>
    <w:rsid w:val="00F53F36"/>
    <w:rsid w:val="00F54225"/>
    <w:rsid w:val="00F545B4"/>
    <w:rsid w:val="00F54B4B"/>
    <w:rsid w:val="00F54BEF"/>
    <w:rsid w:val="00F54D66"/>
    <w:rsid w:val="00F54E0B"/>
    <w:rsid w:val="00F54E55"/>
    <w:rsid w:val="00F551B6"/>
    <w:rsid w:val="00F553A4"/>
    <w:rsid w:val="00F553FA"/>
    <w:rsid w:val="00F5590A"/>
    <w:rsid w:val="00F55D76"/>
    <w:rsid w:val="00F56002"/>
    <w:rsid w:val="00F5605E"/>
    <w:rsid w:val="00F56B9A"/>
    <w:rsid w:val="00F56BEA"/>
    <w:rsid w:val="00F57094"/>
    <w:rsid w:val="00F57255"/>
    <w:rsid w:val="00F5734C"/>
    <w:rsid w:val="00F5743F"/>
    <w:rsid w:val="00F57860"/>
    <w:rsid w:val="00F57A19"/>
    <w:rsid w:val="00F57A1B"/>
    <w:rsid w:val="00F60269"/>
    <w:rsid w:val="00F6035B"/>
    <w:rsid w:val="00F60873"/>
    <w:rsid w:val="00F60BA1"/>
    <w:rsid w:val="00F60F41"/>
    <w:rsid w:val="00F61158"/>
    <w:rsid w:val="00F61227"/>
    <w:rsid w:val="00F61514"/>
    <w:rsid w:val="00F615AA"/>
    <w:rsid w:val="00F622F8"/>
    <w:rsid w:val="00F6237F"/>
    <w:rsid w:val="00F623ED"/>
    <w:rsid w:val="00F624AF"/>
    <w:rsid w:val="00F6250F"/>
    <w:rsid w:val="00F62CB2"/>
    <w:rsid w:val="00F62D1B"/>
    <w:rsid w:val="00F63379"/>
    <w:rsid w:val="00F639A8"/>
    <w:rsid w:val="00F63C9D"/>
    <w:rsid w:val="00F64039"/>
    <w:rsid w:val="00F6468D"/>
    <w:rsid w:val="00F64720"/>
    <w:rsid w:val="00F64C1C"/>
    <w:rsid w:val="00F64E75"/>
    <w:rsid w:val="00F650F7"/>
    <w:rsid w:val="00F653FB"/>
    <w:rsid w:val="00F65684"/>
    <w:rsid w:val="00F6572E"/>
    <w:rsid w:val="00F65992"/>
    <w:rsid w:val="00F65D12"/>
    <w:rsid w:val="00F66C57"/>
    <w:rsid w:val="00F66C94"/>
    <w:rsid w:val="00F67144"/>
    <w:rsid w:val="00F677EA"/>
    <w:rsid w:val="00F67856"/>
    <w:rsid w:val="00F67C30"/>
    <w:rsid w:val="00F67D75"/>
    <w:rsid w:val="00F67E33"/>
    <w:rsid w:val="00F70337"/>
    <w:rsid w:val="00F70617"/>
    <w:rsid w:val="00F707E9"/>
    <w:rsid w:val="00F708C1"/>
    <w:rsid w:val="00F70A8C"/>
    <w:rsid w:val="00F70CD2"/>
    <w:rsid w:val="00F70D55"/>
    <w:rsid w:val="00F70FCA"/>
    <w:rsid w:val="00F7114F"/>
    <w:rsid w:val="00F712BD"/>
    <w:rsid w:val="00F71553"/>
    <w:rsid w:val="00F717D1"/>
    <w:rsid w:val="00F71917"/>
    <w:rsid w:val="00F71F0B"/>
    <w:rsid w:val="00F71F5B"/>
    <w:rsid w:val="00F720EA"/>
    <w:rsid w:val="00F721B0"/>
    <w:rsid w:val="00F722B4"/>
    <w:rsid w:val="00F7234E"/>
    <w:rsid w:val="00F73013"/>
    <w:rsid w:val="00F73074"/>
    <w:rsid w:val="00F73341"/>
    <w:rsid w:val="00F7361E"/>
    <w:rsid w:val="00F73E91"/>
    <w:rsid w:val="00F73F30"/>
    <w:rsid w:val="00F73F87"/>
    <w:rsid w:val="00F73F8D"/>
    <w:rsid w:val="00F73FDB"/>
    <w:rsid w:val="00F7444A"/>
    <w:rsid w:val="00F74782"/>
    <w:rsid w:val="00F7484B"/>
    <w:rsid w:val="00F748C6"/>
    <w:rsid w:val="00F74BBE"/>
    <w:rsid w:val="00F74CFE"/>
    <w:rsid w:val="00F74E69"/>
    <w:rsid w:val="00F74EEE"/>
    <w:rsid w:val="00F75019"/>
    <w:rsid w:val="00F7562B"/>
    <w:rsid w:val="00F75643"/>
    <w:rsid w:val="00F756B9"/>
    <w:rsid w:val="00F7594F"/>
    <w:rsid w:val="00F75C71"/>
    <w:rsid w:val="00F75C7E"/>
    <w:rsid w:val="00F75E5F"/>
    <w:rsid w:val="00F7623E"/>
    <w:rsid w:val="00F76289"/>
    <w:rsid w:val="00F766B8"/>
    <w:rsid w:val="00F7699D"/>
    <w:rsid w:val="00F76D01"/>
    <w:rsid w:val="00F76D21"/>
    <w:rsid w:val="00F76FE4"/>
    <w:rsid w:val="00F77216"/>
    <w:rsid w:val="00F77312"/>
    <w:rsid w:val="00F7731A"/>
    <w:rsid w:val="00F7760C"/>
    <w:rsid w:val="00F77BFA"/>
    <w:rsid w:val="00F77E81"/>
    <w:rsid w:val="00F80018"/>
    <w:rsid w:val="00F800EB"/>
    <w:rsid w:val="00F801D0"/>
    <w:rsid w:val="00F80373"/>
    <w:rsid w:val="00F805CF"/>
    <w:rsid w:val="00F807A4"/>
    <w:rsid w:val="00F80898"/>
    <w:rsid w:val="00F80942"/>
    <w:rsid w:val="00F8096B"/>
    <w:rsid w:val="00F809C5"/>
    <w:rsid w:val="00F80A4E"/>
    <w:rsid w:val="00F80D6C"/>
    <w:rsid w:val="00F81012"/>
    <w:rsid w:val="00F8114D"/>
    <w:rsid w:val="00F81297"/>
    <w:rsid w:val="00F8151F"/>
    <w:rsid w:val="00F81615"/>
    <w:rsid w:val="00F816F4"/>
    <w:rsid w:val="00F82343"/>
    <w:rsid w:val="00F826DB"/>
    <w:rsid w:val="00F82700"/>
    <w:rsid w:val="00F82D15"/>
    <w:rsid w:val="00F82F3F"/>
    <w:rsid w:val="00F82FAF"/>
    <w:rsid w:val="00F82FDA"/>
    <w:rsid w:val="00F830CA"/>
    <w:rsid w:val="00F834AE"/>
    <w:rsid w:val="00F835E3"/>
    <w:rsid w:val="00F835F3"/>
    <w:rsid w:val="00F83703"/>
    <w:rsid w:val="00F83CCD"/>
    <w:rsid w:val="00F83F8C"/>
    <w:rsid w:val="00F84386"/>
    <w:rsid w:val="00F84647"/>
    <w:rsid w:val="00F846F1"/>
    <w:rsid w:val="00F84797"/>
    <w:rsid w:val="00F84A49"/>
    <w:rsid w:val="00F84E00"/>
    <w:rsid w:val="00F84E1A"/>
    <w:rsid w:val="00F8567E"/>
    <w:rsid w:val="00F856E6"/>
    <w:rsid w:val="00F85743"/>
    <w:rsid w:val="00F858AF"/>
    <w:rsid w:val="00F8596B"/>
    <w:rsid w:val="00F85CA2"/>
    <w:rsid w:val="00F85CB8"/>
    <w:rsid w:val="00F85F45"/>
    <w:rsid w:val="00F8681E"/>
    <w:rsid w:val="00F86B45"/>
    <w:rsid w:val="00F86C28"/>
    <w:rsid w:val="00F86DE8"/>
    <w:rsid w:val="00F86F67"/>
    <w:rsid w:val="00F86FD6"/>
    <w:rsid w:val="00F8710E"/>
    <w:rsid w:val="00F87368"/>
    <w:rsid w:val="00F874C7"/>
    <w:rsid w:val="00F8768D"/>
    <w:rsid w:val="00F87A7F"/>
    <w:rsid w:val="00F87B1A"/>
    <w:rsid w:val="00F87CCF"/>
    <w:rsid w:val="00F87D67"/>
    <w:rsid w:val="00F87E90"/>
    <w:rsid w:val="00F87F67"/>
    <w:rsid w:val="00F9011F"/>
    <w:rsid w:val="00F9012D"/>
    <w:rsid w:val="00F9023F"/>
    <w:rsid w:val="00F9046A"/>
    <w:rsid w:val="00F90710"/>
    <w:rsid w:val="00F90E5D"/>
    <w:rsid w:val="00F90E72"/>
    <w:rsid w:val="00F90F2A"/>
    <w:rsid w:val="00F90F41"/>
    <w:rsid w:val="00F911AF"/>
    <w:rsid w:val="00F912DE"/>
    <w:rsid w:val="00F919D1"/>
    <w:rsid w:val="00F91DC3"/>
    <w:rsid w:val="00F92231"/>
    <w:rsid w:val="00F9261F"/>
    <w:rsid w:val="00F92BC0"/>
    <w:rsid w:val="00F92C2F"/>
    <w:rsid w:val="00F92DBF"/>
    <w:rsid w:val="00F92EA4"/>
    <w:rsid w:val="00F93178"/>
    <w:rsid w:val="00F9318E"/>
    <w:rsid w:val="00F93487"/>
    <w:rsid w:val="00F935A1"/>
    <w:rsid w:val="00F935DD"/>
    <w:rsid w:val="00F93781"/>
    <w:rsid w:val="00F937C5"/>
    <w:rsid w:val="00F93C59"/>
    <w:rsid w:val="00F93F4F"/>
    <w:rsid w:val="00F94047"/>
    <w:rsid w:val="00F940C4"/>
    <w:rsid w:val="00F94388"/>
    <w:rsid w:val="00F949A2"/>
    <w:rsid w:val="00F94AFE"/>
    <w:rsid w:val="00F94BF8"/>
    <w:rsid w:val="00F955FA"/>
    <w:rsid w:val="00F956F7"/>
    <w:rsid w:val="00F9570D"/>
    <w:rsid w:val="00F95AC2"/>
    <w:rsid w:val="00F95CF0"/>
    <w:rsid w:val="00F95F21"/>
    <w:rsid w:val="00F96201"/>
    <w:rsid w:val="00F9660D"/>
    <w:rsid w:val="00F96899"/>
    <w:rsid w:val="00F96B06"/>
    <w:rsid w:val="00F96E8A"/>
    <w:rsid w:val="00F970B8"/>
    <w:rsid w:val="00F97147"/>
    <w:rsid w:val="00F9719E"/>
    <w:rsid w:val="00F973A6"/>
    <w:rsid w:val="00F9746F"/>
    <w:rsid w:val="00F97782"/>
    <w:rsid w:val="00F97B24"/>
    <w:rsid w:val="00F97D79"/>
    <w:rsid w:val="00F97E23"/>
    <w:rsid w:val="00FA065A"/>
    <w:rsid w:val="00FA07F4"/>
    <w:rsid w:val="00FA0827"/>
    <w:rsid w:val="00FA0B49"/>
    <w:rsid w:val="00FA0BA9"/>
    <w:rsid w:val="00FA0BE4"/>
    <w:rsid w:val="00FA0C9D"/>
    <w:rsid w:val="00FA0CFB"/>
    <w:rsid w:val="00FA0FDE"/>
    <w:rsid w:val="00FA1264"/>
    <w:rsid w:val="00FA129B"/>
    <w:rsid w:val="00FA13DA"/>
    <w:rsid w:val="00FA14A9"/>
    <w:rsid w:val="00FA175E"/>
    <w:rsid w:val="00FA1762"/>
    <w:rsid w:val="00FA1788"/>
    <w:rsid w:val="00FA17B1"/>
    <w:rsid w:val="00FA1975"/>
    <w:rsid w:val="00FA1998"/>
    <w:rsid w:val="00FA1D90"/>
    <w:rsid w:val="00FA1F85"/>
    <w:rsid w:val="00FA2092"/>
    <w:rsid w:val="00FA244D"/>
    <w:rsid w:val="00FA270E"/>
    <w:rsid w:val="00FA2942"/>
    <w:rsid w:val="00FA2B01"/>
    <w:rsid w:val="00FA2EDE"/>
    <w:rsid w:val="00FA304B"/>
    <w:rsid w:val="00FA34DC"/>
    <w:rsid w:val="00FA364A"/>
    <w:rsid w:val="00FA364F"/>
    <w:rsid w:val="00FA3BA0"/>
    <w:rsid w:val="00FA4074"/>
    <w:rsid w:val="00FA458B"/>
    <w:rsid w:val="00FA45FB"/>
    <w:rsid w:val="00FA4AB8"/>
    <w:rsid w:val="00FA4D36"/>
    <w:rsid w:val="00FA4E83"/>
    <w:rsid w:val="00FA53F0"/>
    <w:rsid w:val="00FA5455"/>
    <w:rsid w:val="00FA5911"/>
    <w:rsid w:val="00FA5AF2"/>
    <w:rsid w:val="00FA5DFA"/>
    <w:rsid w:val="00FA5E4B"/>
    <w:rsid w:val="00FA6089"/>
    <w:rsid w:val="00FA61BC"/>
    <w:rsid w:val="00FA61C5"/>
    <w:rsid w:val="00FA629B"/>
    <w:rsid w:val="00FA62B6"/>
    <w:rsid w:val="00FA634B"/>
    <w:rsid w:val="00FA6379"/>
    <w:rsid w:val="00FA6504"/>
    <w:rsid w:val="00FA6AF1"/>
    <w:rsid w:val="00FA72BD"/>
    <w:rsid w:val="00FA757E"/>
    <w:rsid w:val="00FA791C"/>
    <w:rsid w:val="00FA79B4"/>
    <w:rsid w:val="00FA7C94"/>
    <w:rsid w:val="00FA7D95"/>
    <w:rsid w:val="00FB0410"/>
    <w:rsid w:val="00FB05B5"/>
    <w:rsid w:val="00FB0A88"/>
    <w:rsid w:val="00FB0B79"/>
    <w:rsid w:val="00FB0C2C"/>
    <w:rsid w:val="00FB0CB1"/>
    <w:rsid w:val="00FB0D9A"/>
    <w:rsid w:val="00FB0E08"/>
    <w:rsid w:val="00FB1113"/>
    <w:rsid w:val="00FB1339"/>
    <w:rsid w:val="00FB13FA"/>
    <w:rsid w:val="00FB1425"/>
    <w:rsid w:val="00FB1459"/>
    <w:rsid w:val="00FB18CF"/>
    <w:rsid w:val="00FB1A7A"/>
    <w:rsid w:val="00FB1B9F"/>
    <w:rsid w:val="00FB1CEF"/>
    <w:rsid w:val="00FB1D0F"/>
    <w:rsid w:val="00FB1DF9"/>
    <w:rsid w:val="00FB1FBE"/>
    <w:rsid w:val="00FB21FF"/>
    <w:rsid w:val="00FB23E3"/>
    <w:rsid w:val="00FB241B"/>
    <w:rsid w:val="00FB271B"/>
    <w:rsid w:val="00FB2993"/>
    <w:rsid w:val="00FB3096"/>
    <w:rsid w:val="00FB322B"/>
    <w:rsid w:val="00FB3900"/>
    <w:rsid w:val="00FB3F46"/>
    <w:rsid w:val="00FB4247"/>
    <w:rsid w:val="00FB44D2"/>
    <w:rsid w:val="00FB47D0"/>
    <w:rsid w:val="00FB4893"/>
    <w:rsid w:val="00FB48A8"/>
    <w:rsid w:val="00FB4B56"/>
    <w:rsid w:val="00FB5342"/>
    <w:rsid w:val="00FB5372"/>
    <w:rsid w:val="00FB54B4"/>
    <w:rsid w:val="00FB55C5"/>
    <w:rsid w:val="00FB5AB7"/>
    <w:rsid w:val="00FB5CC1"/>
    <w:rsid w:val="00FB5FA0"/>
    <w:rsid w:val="00FB6008"/>
    <w:rsid w:val="00FB6261"/>
    <w:rsid w:val="00FB6551"/>
    <w:rsid w:val="00FB65D5"/>
    <w:rsid w:val="00FB6656"/>
    <w:rsid w:val="00FB68B5"/>
    <w:rsid w:val="00FB6C7F"/>
    <w:rsid w:val="00FB74D7"/>
    <w:rsid w:val="00FB7A99"/>
    <w:rsid w:val="00FB7AB8"/>
    <w:rsid w:val="00FB7F14"/>
    <w:rsid w:val="00FC055F"/>
    <w:rsid w:val="00FC0BF0"/>
    <w:rsid w:val="00FC0D38"/>
    <w:rsid w:val="00FC0E28"/>
    <w:rsid w:val="00FC0ECF"/>
    <w:rsid w:val="00FC1338"/>
    <w:rsid w:val="00FC1CE2"/>
    <w:rsid w:val="00FC1D3C"/>
    <w:rsid w:val="00FC2313"/>
    <w:rsid w:val="00FC2A11"/>
    <w:rsid w:val="00FC2E87"/>
    <w:rsid w:val="00FC2EA8"/>
    <w:rsid w:val="00FC2F18"/>
    <w:rsid w:val="00FC2F62"/>
    <w:rsid w:val="00FC30CD"/>
    <w:rsid w:val="00FC30E2"/>
    <w:rsid w:val="00FC3480"/>
    <w:rsid w:val="00FC34D0"/>
    <w:rsid w:val="00FC35A1"/>
    <w:rsid w:val="00FC37A4"/>
    <w:rsid w:val="00FC3C02"/>
    <w:rsid w:val="00FC3C42"/>
    <w:rsid w:val="00FC3CCB"/>
    <w:rsid w:val="00FC4224"/>
    <w:rsid w:val="00FC4323"/>
    <w:rsid w:val="00FC44D2"/>
    <w:rsid w:val="00FC44F2"/>
    <w:rsid w:val="00FC46DB"/>
    <w:rsid w:val="00FC495A"/>
    <w:rsid w:val="00FC49E3"/>
    <w:rsid w:val="00FC4B7B"/>
    <w:rsid w:val="00FC4C7D"/>
    <w:rsid w:val="00FC5087"/>
    <w:rsid w:val="00FC518A"/>
    <w:rsid w:val="00FC53F0"/>
    <w:rsid w:val="00FC5ABF"/>
    <w:rsid w:val="00FC5B34"/>
    <w:rsid w:val="00FC5B47"/>
    <w:rsid w:val="00FC5C44"/>
    <w:rsid w:val="00FC5C50"/>
    <w:rsid w:val="00FC6239"/>
    <w:rsid w:val="00FC6265"/>
    <w:rsid w:val="00FC65D6"/>
    <w:rsid w:val="00FC67E4"/>
    <w:rsid w:val="00FC6822"/>
    <w:rsid w:val="00FC6920"/>
    <w:rsid w:val="00FC69A5"/>
    <w:rsid w:val="00FC6B7C"/>
    <w:rsid w:val="00FC6F8B"/>
    <w:rsid w:val="00FC7019"/>
    <w:rsid w:val="00FC7166"/>
    <w:rsid w:val="00FC7E6B"/>
    <w:rsid w:val="00FD024B"/>
    <w:rsid w:val="00FD0273"/>
    <w:rsid w:val="00FD04EA"/>
    <w:rsid w:val="00FD0A4D"/>
    <w:rsid w:val="00FD0C06"/>
    <w:rsid w:val="00FD0C85"/>
    <w:rsid w:val="00FD0D60"/>
    <w:rsid w:val="00FD1BF6"/>
    <w:rsid w:val="00FD2294"/>
    <w:rsid w:val="00FD2481"/>
    <w:rsid w:val="00FD26C3"/>
    <w:rsid w:val="00FD27B1"/>
    <w:rsid w:val="00FD2DD8"/>
    <w:rsid w:val="00FD2DF4"/>
    <w:rsid w:val="00FD2E74"/>
    <w:rsid w:val="00FD31F5"/>
    <w:rsid w:val="00FD321C"/>
    <w:rsid w:val="00FD3859"/>
    <w:rsid w:val="00FD3B0A"/>
    <w:rsid w:val="00FD3BED"/>
    <w:rsid w:val="00FD3C93"/>
    <w:rsid w:val="00FD3F43"/>
    <w:rsid w:val="00FD41F7"/>
    <w:rsid w:val="00FD423A"/>
    <w:rsid w:val="00FD4642"/>
    <w:rsid w:val="00FD48FD"/>
    <w:rsid w:val="00FD4953"/>
    <w:rsid w:val="00FD49E2"/>
    <w:rsid w:val="00FD4A43"/>
    <w:rsid w:val="00FD4E07"/>
    <w:rsid w:val="00FD50C9"/>
    <w:rsid w:val="00FD5207"/>
    <w:rsid w:val="00FD5497"/>
    <w:rsid w:val="00FD55C6"/>
    <w:rsid w:val="00FD5680"/>
    <w:rsid w:val="00FD5762"/>
    <w:rsid w:val="00FD5838"/>
    <w:rsid w:val="00FD5ECF"/>
    <w:rsid w:val="00FD5EF7"/>
    <w:rsid w:val="00FD5F5D"/>
    <w:rsid w:val="00FD6234"/>
    <w:rsid w:val="00FD6521"/>
    <w:rsid w:val="00FD652E"/>
    <w:rsid w:val="00FD6863"/>
    <w:rsid w:val="00FD6A5A"/>
    <w:rsid w:val="00FD6AE8"/>
    <w:rsid w:val="00FD6BFE"/>
    <w:rsid w:val="00FD6E00"/>
    <w:rsid w:val="00FD6F83"/>
    <w:rsid w:val="00FD703A"/>
    <w:rsid w:val="00FD7226"/>
    <w:rsid w:val="00FD7724"/>
    <w:rsid w:val="00FD77A9"/>
    <w:rsid w:val="00FD77D8"/>
    <w:rsid w:val="00FD7C4C"/>
    <w:rsid w:val="00FE011C"/>
    <w:rsid w:val="00FE0363"/>
    <w:rsid w:val="00FE047C"/>
    <w:rsid w:val="00FE052E"/>
    <w:rsid w:val="00FE079A"/>
    <w:rsid w:val="00FE0C3C"/>
    <w:rsid w:val="00FE0C3E"/>
    <w:rsid w:val="00FE0E09"/>
    <w:rsid w:val="00FE0FF3"/>
    <w:rsid w:val="00FE11B3"/>
    <w:rsid w:val="00FE120D"/>
    <w:rsid w:val="00FE1767"/>
    <w:rsid w:val="00FE1787"/>
    <w:rsid w:val="00FE1ACD"/>
    <w:rsid w:val="00FE1D10"/>
    <w:rsid w:val="00FE1FE2"/>
    <w:rsid w:val="00FE22F3"/>
    <w:rsid w:val="00FE23AF"/>
    <w:rsid w:val="00FE2610"/>
    <w:rsid w:val="00FE2885"/>
    <w:rsid w:val="00FE2D23"/>
    <w:rsid w:val="00FE2E68"/>
    <w:rsid w:val="00FE2EA1"/>
    <w:rsid w:val="00FE2EA7"/>
    <w:rsid w:val="00FE2F1D"/>
    <w:rsid w:val="00FE30D9"/>
    <w:rsid w:val="00FE317C"/>
    <w:rsid w:val="00FE343E"/>
    <w:rsid w:val="00FE37D2"/>
    <w:rsid w:val="00FE3A49"/>
    <w:rsid w:val="00FE3BDF"/>
    <w:rsid w:val="00FE3C7A"/>
    <w:rsid w:val="00FE3DCD"/>
    <w:rsid w:val="00FE3F42"/>
    <w:rsid w:val="00FE403E"/>
    <w:rsid w:val="00FE4367"/>
    <w:rsid w:val="00FE449D"/>
    <w:rsid w:val="00FE484E"/>
    <w:rsid w:val="00FE4A61"/>
    <w:rsid w:val="00FE4B02"/>
    <w:rsid w:val="00FE4B4D"/>
    <w:rsid w:val="00FE50A9"/>
    <w:rsid w:val="00FE53FF"/>
    <w:rsid w:val="00FE5881"/>
    <w:rsid w:val="00FE588A"/>
    <w:rsid w:val="00FE5C0A"/>
    <w:rsid w:val="00FE5D58"/>
    <w:rsid w:val="00FE601B"/>
    <w:rsid w:val="00FE6143"/>
    <w:rsid w:val="00FE63F0"/>
    <w:rsid w:val="00FE63FB"/>
    <w:rsid w:val="00FE693B"/>
    <w:rsid w:val="00FE6CBD"/>
    <w:rsid w:val="00FE6EDD"/>
    <w:rsid w:val="00FE71FD"/>
    <w:rsid w:val="00FE754C"/>
    <w:rsid w:val="00FE7AC6"/>
    <w:rsid w:val="00FE7B3C"/>
    <w:rsid w:val="00FE7C0B"/>
    <w:rsid w:val="00FE7D5A"/>
    <w:rsid w:val="00FE7E1D"/>
    <w:rsid w:val="00FF001B"/>
    <w:rsid w:val="00FF0240"/>
    <w:rsid w:val="00FF028E"/>
    <w:rsid w:val="00FF08FD"/>
    <w:rsid w:val="00FF0931"/>
    <w:rsid w:val="00FF0B2F"/>
    <w:rsid w:val="00FF0F80"/>
    <w:rsid w:val="00FF0F88"/>
    <w:rsid w:val="00FF0F99"/>
    <w:rsid w:val="00FF1173"/>
    <w:rsid w:val="00FF14B2"/>
    <w:rsid w:val="00FF16F7"/>
    <w:rsid w:val="00FF1962"/>
    <w:rsid w:val="00FF205F"/>
    <w:rsid w:val="00FF211E"/>
    <w:rsid w:val="00FF29BA"/>
    <w:rsid w:val="00FF2B00"/>
    <w:rsid w:val="00FF2C06"/>
    <w:rsid w:val="00FF2DC6"/>
    <w:rsid w:val="00FF2F74"/>
    <w:rsid w:val="00FF326D"/>
    <w:rsid w:val="00FF344D"/>
    <w:rsid w:val="00FF348F"/>
    <w:rsid w:val="00FF389C"/>
    <w:rsid w:val="00FF3A5F"/>
    <w:rsid w:val="00FF3AB7"/>
    <w:rsid w:val="00FF3B7F"/>
    <w:rsid w:val="00FF3CB1"/>
    <w:rsid w:val="00FF3D53"/>
    <w:rsid w:val="00FF44B3"/>
    <w:rsid w:val="00FF4A00"/>
    <w:rsid w:val="00FF4A25"/>
    <w:rsid w:val="00FF4B49"/>
    <w:rsid w:val="00FF4ECB"/>
    <w:rsid w:val="00FF5280"/>
    <w:rsid w:val="00FF5683"/>
    <w:rsid w:val="00FF5BCC"/>
    <w:rsid w:val="00FF5C23"/>
    <w:rsid w:val="00FF5D08"/>
    <w:rsid w:val="00FF5E3E"/>
    <w:rsid w:val="00FF5E87"/>
    <w:rsid w:val="00FF5FD8"/>
    <w:rsid w:val="00FF62ED"/>
    <w:rsid w:val="00FF6516"/>
    <w:rsid w:val="00FF6912"/>
    <w:rsid w:val="00FF6A43"/>
    <w:rsid w:val="00FF6C8D"/>
    <w:rsid w:val="00FF6C9E"/>
    <w:rsid w:val="00FF6DA9"/>
    <w:rsid w:val="00FF6E94"/>
    <w:rsid w:val="00FF7187"/>
    <w:rsid w:val="00FF7240"/>
    <w:rsid w:val="00FF7855"/>
    <w:rsid w:val="00FF7A63"/>
    <w:rsid w:val="00FF7AD7"/>
    <w:rsid w:val="00FF7B4F"/>
    <w:rsid w:val="00FF7F1A"/>
    <w:rsid w:val="00FF7F78"/>
    <w:rsid w:val="00FF7FAD"/>
    <w:rsid w:val="124E5B9A"/>
    <w:rsid w:val="1FAE665B"/>
    <w:rsid w:val="331C8C93"/>
    <w:rsid w:val="34735AD4"/>
    <w:rsid w:val="38431988"/>
    <w:rsid w:val="4BB9265D"/>
    <w:rsid w:val="573F1CC3"/>
    <w:rsid w:val="77D7600A"/>
    <w:rsid w:val="7F7FDB8F"/>
    <w:rsid w:val="FDD7E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semiHidden/>
    <w:qFormat/>
    <w:uiPriority w:val="0"/>
    <w:pPr>
      <w:ind w:left="1260"/>
      <w:jc w:val="left"/>
    </w:pPr>
    <w:rPr>
      <w:sz w:val="18"/>
      <w:szCs w:val="18"/>
    </w:rPr>
  </w:style>
  <w:style w:type="paragraph" w:styleId="5">
    <w:name w:val="Document Map"/>
    <w:basedOn w:val="1"/>
    <w:link w:val="40"/>
    <w:semiHidden/>
    <w:qFormat/>
    <w:uiPriority w:val="0"/>
    <w:pPr>
      <w:shd w:val="clear" w:color="auto" w:fill="000080"/>
    </w:pPr>
  </w:style>
  <w:style w:type="paragraph" w:styleId="6">
    <w:name w:val="annotation text"/>
    <w:basedOn w:val="1"/>
    <w:link w:val="41"/>
    <w:qFormat/>
    <w:uiPriority w:val="0"/>
    <w:pPr>
      <w:jc w:val="left"/>
    </w:pPr>
  </w:style>
  <w:style w:type="paragraph" w:styleId="7">
    <w:name w:val="List Bullet 3"/>
    <w:basedOn w:val="1"/>
    <w:qFormat/>
    <w:uiPriority w:val="0"/>
    <w:pPr>
      <w:spacing w:line="360" w:lineRule="exact"/>
    </w:pPr>
    <w:rPr>
      <w:rFonts w:eastAsia="楷体_GB2312"/>
      <w:b/>
      <w:sz w:val="24"/>
    </w:rPr>
  </w:style>
  <w:style w:type="paragraph" w:styleId="8">
    <w:name w:val="Body Text"/>
    <w:basedOn w:val="1"/>
    <w:link w:val="42"/>
    <w:qFormat/>
    <w:uiPriority w:val="0"/>
    <w:pPr>
      <w:spacing w:after="120"/>
    </w:pPr>
  </w:style>
  <w:style w:type="paragraph" w:styleId="9">
    <w:name w:val="Body Text Indent"/>
    <w:basedOn w:val="1"/>
    <w:link w:val="43"/>
    <w:qFormat/>
    <w:uiPriority w:val="0"/>
    <w:pPr>
      <w:spacing w:after="120"/>
      <w:ind w:left="420" w:leftChars="200"/>
    </w:pPr>
  </w:style>
  <w:style w:type="paragraph" w:styleId="10">
    <w:name w:val="List Bullet 2"/>
    <w:basedOn w:val="1"/>
    <w:qFormat/>
    <w:uiPriority w:val="0"/>
    <w:pPr>
      <w:numPr>
        <w:ilvl w:val="0"/>
        <w:numId w:val="1"/>
      </w:numPr>
    </w:pPr>
  </w:style>
  <w:style w:type="paragraph" w:styleId="11">
    <w:name w:val="toc 5"/>
    <w:basedOn w:val="1"/>
    <w:next w:val="1"/>
    <w:semiHidden/>
    <w:qFormat/>
    <w:uiPriority w:val="0"/>
    <w:pPr>
      <w:ind w:left="840"/>
      <w:jc w:val="left"/>
    </w:pPr>
    <w:rPr>
      <w:sz w:val="18"/>
      <w:szCs w:val="18"/>
    </w:rPr>
  </w:style>
  <w:style w:type="paragraph" w:styleId="12">
    <w:name w:val="toc 3"/>
    <w:basedOn w:val="1"/>
    <w:next w:val="1"/>
    <w:semiHidden/>
    <w:qFormat/>
    <w:uiPriority w:val="0"/>
    <w:pPr>
      <w:spacing w:line="380" w:lineRule="atLeast"/>
      <w:jc w:val="left"/>
    </w:pPr>
    <w:rPr>
      <w:rFonts w:eastAsia="楷体_GB2312"/>
      <w:b/>
      <w:iCs/>
      <w:sz w:val="24"/>
    </w:rPr>
  </w:style>
  <w:style w:type="paragraph" w:styleId="13">
    <w:name w:val="Plain Text"/>
    <w:basedOn w:val="1"/>
    <w:link w:val="44"/>
    <w:qFormat/>
    <w:uiPriority w:val="0"/>
    <w:rPr>
      <w:rFonts w:ascii="宋体" w:hAnsi="Courier New"/>
      <w:szCs w:val="21"/>
    </w:rPr>
  </w:style>
  <w:style w:type="paragraph" w:styleId="14">
    <w:name w:val="toc 8"/>
    <w:basedOn w:val="1"/>
    <w:next w:val="1"/>
    <w:semiHidden/>
    <w:qFormat/>
    <w:uiPriority w:val="0"/>
    <w:pPr>
      <w:ind w:left="1470"/>
      <w:jc w:val="left"/>
    </w:pPr>
    <w:rPr>
      <w:sz w:val="18"/>
      <w:szCs w:val="18"/>
    </w:rPr>
  </w:style>
  <w:style w:type="paragraph" w:styleId="15">
    <w:name w:val="Body Text Indent 2"/>
    <w:basedOn w:val="1"/>
    <w:link w:val="45"/>
    <w:qFormat/>
    <w:uiPriority w:val="0"/>
    <w:pPr>
      <w:tabs>
        <w:tab w:val="left" w:pos="2340"/>
      </w:tabs>
      <w:spacing w:line="400" w:lineRule="atLeast"/>
      <w:ind w:left="2340" w:leftChars="1114" w:hanging="1"/>
    </w:pPr>
    <w:rPr>
      <w:rFonts w:eastAsia="楷体_GB2312"/>
      <w:sz w:val="24"/>
    </w:rPr>
  </w:style>
  <w:style w:type="paragraph" w:styleId="16">
    <w:name w:val="Balloon Text"/>
    <w:basedOn w:val="1"/>
    <w:link w:val="46"/>
    <w:semiHidden/>
    <w:qFormat/>
    <w:uiPriority w:val="0"/>
    <w:rPr>
      <w:sz w:val="18"/>
      <w:szCs w:val="18"/>
    </w:rPr>
  </w:style>
  <w:style w:type="paragraph" w:styleId="17">
    <w:name w:val="footer"/>
    <w:basedOn w:val="1"/>
    <w:link w:val="47"/>
    <w:qFormat/>
    <w:uiPriority w:val="99"/>
    <w:pPr>
      <w:tabs>
        <w:tab w:val="center" w:pos="4153"/>
        <w:tab w:val="right" w:pos="8306"/>
      </w:tabs>
      <w:snapToGrid w:val="0"/>
      <w:jc w:val="left"/>
    </w:pPr>
    <w:rPr>
      <w:sz w:val="18"/>
      <w:szCs w:val="18"/>
    </w:rPr>
  </w:style>
  <w:style w:type="paragraph" w:styleId="18">
    <w:name w:val="header"/>
    <w:basedOn w:val="1"/>
    <w:link w:val="48"/>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b/>
      <w:bCs/>
      <w:caps/>
      <w:sz w:val="20"/>
      <w:szCs w:val="20"/>
    </w:rPr>
  </w:style>
  <w:style w:type="paragraph" w:styleId="20">
    <w:name w:val="toc 4"/>
    <w:basedOn w:val="1"/>
    <w:next w:val="1"/>
    <w:semiHidden/>
    <w:qFormat/>
    <w:uiPriority w:val="0"/>
    <w:pPr>
      <w:ind w:left="630"/>
      <w:jc w:val="left"/>
    </w:pPr>
    <w:rPr>
      <w:sz w:val="18"/>
      <w:szCs w:val="18"/>
    </w:rPr>
  </w:style>
  <w:style w:type="paragraph" w:styleId="21">
    <w:name w:val="index heading"/>
    <w:basedOn w:val="1"/>
    <w:next w:val="22"/>
    <w:semiHidden/>
    <w:qFormat/>
    <w:uiPriority w:val="0"/>
    <w:rPr>
      <w:rFonts w:ascii="Arial" w:hAnsi="Arial" w:cs="Arial"/>
      <w:b/>
      <w:bCs/>
    </w:rPr>
  </w:style>
  <w:style w:type="paragraph" w:styleId="22">
    <w:name w:val="index 1"/>
    <w:basedOn w:val="1"/>
    <w:next w:val="1"/>
    <w:semiHidden/>
    <w:qFormat/>
    <w:uiPriority w:val="0"/>
  </w:style>
  <w:style w:type="paragraph" w:styleId="23">
    <w:name w:val="footnote text"/>
    <w:basedOn w:val="1"/>
    <w:link w:val="49"/>
    <w:qFormat/>
    <w:uiPriority w:val="0"/>
    <w:pPr>
      <w:snapToGrid w:val="0"/>
      <w:jc w:val="left"/>
    </w:pPr>
    <w:rPr>
      <w:sz w:val="18"/>
      <w:szCs w:val="18"/>
    </w:rPr>
  </w:style>
  <w:style w:type="paragraph" w:styleId="24">
    <w:name w:val="toc 6"/>
    <w:basedOn w:val="1"/>
    <w:next w:val="1"/>
    <w:semiHidden/>
    <w:qFormat/>
    <w:uiPriority w:val="0"/>
    <w:pPr>
      <w:ind w:left="1050"/>
      <w:jc w:val="left"/>
    </w:pPr>
    <w:rPr>
      <w:sz w:val="18"/>
      <w:szCs w:val="18"/>
    </w:rPr>
  </w:style>
  <w:style w:type="paragraph" w:styleId="25">
    <w:name w:val="Body Text Indent 3"/>
    <w:basedOn w:val="1"/>
    <w:link w:val="50"/>
    <w:qFormat/>
    <w:uiPriority w:val="0"/>
    <w:pPr>
      <w:spacing w:after="120"/>
      <w:ind w:left="420" w:leftChars="200"/>
    </w:pPr>
    <w:rPr>
      <w:sz w:val="16"/>
      <w:szCs w:val="16"/>
    </w:rPr>
  </w:style>
  <w:style w:type="paragraph" w:styleId="26">
    <w:name w:val="toc 2"/>
    <w:basedOn w:val="1"/>
    <w:next w:val="1"/>
    <w:semiHidden/>
    <w:qFormat/>
    <w:uiPriority w:val="0"/>
    <w:pPr>
      <w:ind w:left="210"/>
      <w:jc w:val="left"/>
    </w:pPr>
    <w:rPr>
      <w:smallCaps/>
      <w:sz w:val="20"/>
      <w:szCs w:val="20"/>
    </w:rPr>
  </w:style>
  <w:style w:type="paragraph" w:styleId="27">
    <w:name w:val="toc 9"/>
    <w:basedOn w:val="1"/>
    <w:next w:val="1"/>
    <w:semiHidden/>
    <w:qFormat/>
    <w:uiPriority w:val="0"/>
    <w:pPr>
      <w:ind w:left="1680"/>
      <w:jc w:val="left"/>
    </w:pPr>
    <w:rPr>
      <w:sz w:val="18"/>
      <w:szCs w:val="18"/>
    </w:rPr>
  </w:style>
  <w:style w:type="paragraph" w:styleId="28">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29">
    <w:name w:val="annotation subject"/>
    <w:basedOn w:val="6"/>
    <w:next w:val="6"/>
    <w:link w:val="51"/>
    <w:semiHidden/>
    <w:qFormat/>
    <w:uiPriority w:val="0"/>
    <w:rPr>
      <w:b/>
      <w:bCs/>
    </w:r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qFormat/>
    <w:uiPriority w:val="0"/>
  </w:style>
  <w:style w:type="character" w:styleId="34">
    <w:name w:val="FollowedHyperlink"/>
    <w:qFormat/>
    <w:uiPriority w:val="0"/>
    <w:rPr>
      <w:color w:val="800080"/>
      <w:u w:val="single"/>
    </w:rPr>
  </w:style>
  <w:style w:type="character" w:styleId="35">
    <w:name w:val="Hyperlink"/>
    <w:qFormat/>
    <w:uiPriority w:val="99"/>
    <w:rPr>
      <w:color w:val="0000FF"/>
      <w:u w:val="single"/>
    </w:rPr>
  </w:style>
  <w:style w:type="character" w:styleId="36">
    <w:name w:val="annotation reference"/>
    <w:qFormat/>
    <w:uiPriority w:val="0"/>
    <w:rPr>
      <w:sz w:val="21"/>
      <w:szCs w:val="21"/>
    </w:rPr>
  </w:style>
  <w:style w:type="character" w:styleId="37">
    <w:name w:val="footnote reference"/>
    <w:qFormat/>
    <w:uiPriority w:val="0"/>
    <w:rPr>
      <w:vertAlign w:val="superscript"/>
    </w:rPr>
  </w:style>
  <w:style w:type="character" w:customStyle="1" w:styleId="38">
    <w:name w:val="标题 1 字符"/>
    <w:link w:val="2"/>
    <w:qFormat/>
    <w:uiPriority w:val="0"/>
    <w:rPr>
      <w:b/>
      <w:bCs/>
      <w:kern w:val="44"/>
      <w:sz w:val="44"/>
      <w:szCs w:val="44"/>
    </w:rPr>
  </w:style>
  <w:style w:type="character" w:customStyle="1" w:styleId="39">
    <w:name w:val="标题 2 字符"/>
    <w:link w:val="3"/>
    <w:qFormat/>
    <w:uiPriority w:val="0"/>
    <w:rPr>
      <w:rFonts w:ascii="Arial" w:hAnsi="Arial" w:eastAsia="黑体"/>
      <w:b/>
      <w:bCs/>
      <w:kern w:val="2"/>
      <w:sz w:val="32"/>
      <w:szCs w:val="32"/>
    </w:rPr>
  </w:style>
  <w:style w:type="character" w:customStyle="1" w:styleId="40">
    <w:name w:val="文档结构图 字符"/>
    <w:link w:val="5"/>
    <w:semiHidden/>
    <w:qFormat/>
    <w:uiPriority w:val="0"/>
    <w:rPr>
      <w:kern w:val="2"/>
      <w:sz w:val="21"/>
      <w:szCs w:val="24"/>
      <w:shd w:val="clear" w:color="auto" w:fill="000080"/>
    </w:rPr>
  </w:style>
  <w:style w:type="character" w:customStyle="1" w:styleId="41">
    <w:name w:val="批注文字 字符"/>
    <w:link w:val="6"/>
    <w:qFormat/>
    <w:uiPriority w:val="0"/>
    <w:rPr>
      <w:kern w:val="2"/>
      <w:sz w:val="21"/>
      <w:szCs w:val="24"/>
    </w:rPr>
  </w:style>
  <w:style w:type="character" w:customStyle="1" w:styleId="42">
    <w:name w:val="正文文本 字符"/>
    <w:link w:val="8"/>
    <w:qFormat/>
    <w:uiPriority w:val="0"/>
    <w:rPr>
      <w:kern w:val="2"/>
      <w:sz w:val="21"/>
      <w:szCs w:val="24"/>
    </w:rPr>
  </w:style>
  <w:style w:type="character" w:customStyle="1" w:styleId="43">
    <w:name w:val="正文文本缩进 字符"/>
    <w:link w:val="9"/>
    <w:qFormat/>
    <w:uiPriority w:val="0"/>
    <w:rPr>
      <w:kern w:val="2"/>
      <w:sz w:val="21"/>
      <w:szCs w:val="24"/>
    </w:rPr>
  </w:style>
  <w:style w:type="character" w:customStyle="1" w:styleId="44">
    <w:name w:val="纯文本 字符"/>
    <w:link w:val="13"/>
    <w:qFormat/>
    <w:uiPriority w:val="0"/>
    <w:rPr>
      <w:rFonts w:ascii="宋体" w:hAnsi="Courier New" w:cs="Courier New"/>
      <w:kern w:val="2"/>
      <w:sz w:val="21"/>
      <w:szCs w:val="21"/>
    </w:rPr>
  </w:style>
  <w:style w:type="character" w:customStyle="1" w:styleId="45">
    <w:name w:val="正文文本缩进 2 字符"/>
    <w:link w:val="15"/>
    <w:qFormat/>
    <w:uiPriority w:val="0"/>
    <w:rPr>
      <w:rFonts w:eastAsia="楷体_GB2312"/>
      <w:kern w:val="2"/>
      <w:sz w:val="24"/>
      <w:szCs w:val="24"/>
    </w:rPr>
  </w:style>
  <w:style w:type="character" w:customStyle="1" w:styleId="46">
    <w:name w:val="批注框文本 字符"/>
    <w:link w:val="16"/>
    <w:semiHidden/>
    <w:qFormat/>
    <w:uiPriority w:val="0"/>
    <w:rPr>
      <w:kern w:val="2"/>
      <w:sz w:val="18"/>
      <w:szCs w:val="18"/>
    </w:rPr>
  </w:style>
  <w:style w:type="character" w:customStyle="1" w:styleId="47">
    <w:name w:val="页脚 字符"/>
    <w:link w:val="17"/>
    <w:qFormat/>
    <w:uiPriority w:val="99"/>
    <w:rPr>
      <w:kern w:val="2"/>
      <w:sz w:val="18"/>
      <w:szCs w:val="18"/>
    </w:rPr>
  </w:style>
  <w:style w:type="character" w:customStyle="1" w:styleId="48">
    <w:name w:val="页眉 字符"/>
    <w:link w:val="18"/>
    <w:qFormat/>
    <w:uiPriority w:val="0"/>
    <w:rPr>
      <w:kern w:val="2"/>
      <w:sz w:val="18"/>
      <w:szCs w:val="18"/>
    </w:rPr>
  </w:style>
  <w:style w:type="character" w:customStyle="1" w:styleId="49">
    <w:name w:val="脚注文本 字符"/>
    <w:link w:val="23"/>
    <w:qFormat/>
    <w:uiPriority w:val="0"/>
    <w:rPr>
      <w:kern w:val="2"/>
      <w:sz w:val="18"/>
      <w:szCs w:val="18"/>
    </w:rPr>
  </w:style>
  <w:style w:type="character" w:customStyle="1" w:styleId="50">
    <w:name w:val="正文文本缩进 3 字符"/>
    <w:link w:val="25"/>
    <w:qFormat/>
    <w:uiPriority w:val="0"/>
    <w:rPr>
      <w:kern w:val="2"/>
      <w:sz w:val="16"/>
      <w:szCs w:val="16"/>
    </w:rPr>
  </w:style>
  <w:style w:type="character" w:customStyle="1" w:styleId="51">
    <w:name w:val="批注主题 字符"/>
    <w:link w:val="29"/>
    <w:semiHidden/>
    <w:qFormat/>
    <w:uiPriority w:val="0"/>
    <w:rPr>
      <w:b/>
      <w:bCs/>
      <w:kern w:val="2"/>
      <w:sz w:val="21"/>
      <w:szCs w:val="24"/>
    </w:rPr>
  </w:style>
  <w:style w:type="paragraph" w:customStyle="1" w:styleId="52">
    <w:name w:val="1"/>
    <w:basedOn w:val="1"/>
    <w:next w:val="9"/>
    <w:qFormat/>
    <w:uiPriority w:val="0"/>
    <w:pPr>
      <w:spacing w:line="360" w:lineRule="auto"/>
      <w:ind w:firstLine="376"/>
    </w:pPr>
    <w:rPr>
      <w:sz w:val="24"/>
    </w:rPr>
  </w:style>
  <w:style w:type="paragraph" w:customStyle="1" w:styleId="53">
    <w:name w:val="2"/>
    <w:basedOn w:val="1"/>
    <w:next w:val="9"/>
    <w:qFormat/>
    <w:uiPriority w:val="0"/>
    <w:pPr>
      <w:spacing w:after="120"/>
      <w:ind w:left="420" w:leftChars="200"/>
    </w:pPr>
  </w:style>
  <w:style w:type="paragraph" w:customStyle="1" w:styleId="54">
    <w:name w:val="FWB_L1"/>
    <w:basedOn w:val="1"/>
    <w:next w:val="55"/>
    <w:qFormat/>
    <w:uiPriority w:val="0"/>
    <w:pPr>
      <w:keepNext/>
      <w:keepLines/>
      <w:widowControl/>
      <w:tabs>
        <w:tab w:val="left" w:pos="360"/>
      </w:tabs>
      <w:spacing w:after="240"/>
      <w:jc w:val="left"/>
      <w:outlineLvl w:val="0"/>
    </w:pPr>
    <w:rPr>
      <w:b/>
      <w:smallCaps/>
      <w:kern w:val="0"/>
      <w:sz w:val="24"/>
      <w:szCs w:val="20"/>
      <w:lang w:val="en-GB" w:eastAsia="en-US"/>
    </w:rPr>
  </w:style>
  <w:style w:type="paragraph" w:customStyle="1" w:styleId="55">
    <w:name w:val="FWB_L2"/>
    <w:basedOn w:val="54"/>
    <w:qFormat/>
    <w:uiPriority w:val="0"/>
    <w:pPr>
      <w:keepNext w:val="0"/>
      <w:keepLines w:val="0"/>
      <w:jc w:val="both"/>
      <w:outlineLvl w:val="9"/>
    </w:pPr>
    <w:rPr>
      <w:b w:val="0"/>
      <w:smallCaps w:val="0"/>
    </w:rPr>
  </w:style>
  <w:style w:type="paragraph" w:customStyle="1" w:styleId="56">
    <w:name w:val="FWB_L3"/>
    <w:basedOn w:val="55"/>
    <w:qFormat/>
    <w:uiPriority w:val="0"/>
    <w:pPr>
      <w:tabs>
        <w:tab w:val="left" w:pos="900"/>
      </w:tabs>
    </w:pPr>
  </w:style>
  <w:style w:type="paragraph" w:customStyle="1" w:styleId="57">
    <w:name w:val="FWB_L4"/>
    <w:basedOn w:val="56"/>
    <w:qFormat/>
    <w:uiPriority w:val="0"/>
  </w:style>
  <w:style w:type="paragraph" w:customStyle="1" w:styleId="58">
    <w:name w:val="FWB_L5"/>
    <w:basedOn w:val="57"/>
    <w:qFormat/>
    <w:uiPriority w:val="0"/>
  </w:style>
  <w:style w:type="paragraph" w:customStyle="1" w:styleId="59">
    <w:name w:val="FWB_L6"/>
    <w:basedOn w:val="58"/>
    <w:qFormat/>
    <w:uiPriority w:val="0"/>
  </w:style>
  <w:style w:type="paragraph" w:customStyle="1" w:styleId="60">
    <w:name w:val="FWB_L7"/>
    <w:basedOn w:val="59"/>
    <w:qFormat/>
    <w:uiPriority w:val="0"/>
  </w:style>
  <w:style w:type="paragraph" w:customStyle="1" w:styleId="61">
    <w:name w:val="FWB_L8"/>
    <w:basedOn w:val="60"/>
    <w:qFormat/>
    <w:uiPriority w:val="0"/>
  </w:style>
  <w:style w:type="paragraph" w:customStyle="1" w:styleId="62">
    <w:name w:val="3"/>
    <w:basedOn w:val="1"/>
    <w:next w:val="9"/>
    <w:qFormat/>
    <w:uiPriority w:val="0"/>
    <w:pPr>
      <w:spacing w:line="360" w:lineRule="auto"/>
      <w:ind w:firstLine="560" w:firstLineChars="200"/>
    </w:pPr>
    <w:rPr>
      <w:rFonts w:ascii="仿宋_GB2312" w:eastAsia="仿宋_GB2312"/>
      <w:sz w:val="28"/>
    </w:rPr>
  </w:style>
  <w:style w:type="paragraph" w:customStyle="1" w:styleId="63">
    <w:name w:val="FWB Cont 3"/>
    <w:basedOn w:val="1"/>
    <w:qFormat/>
    <w:uiPriority w:val="0"/>
    <w:pPr>
      <w:widowControl/>
      <w:spacing w:after="240"/>
      <w:ind w:left="720"/>
    </w:pPr>
    <w:rPr>
      <w:kern w:val="0"/>
      <w:sz w:val="24"/>
      <w:szCs w:val="20"/>
      <w:lang w:val="en-GB" w:eastAsia="en-US"/>
    </w:rPr>
  </w:style>
  <w:style w:type="paragraph" w:customStyle="1" w:styleId="64">
    <w:name w:val="(a)"/>
    <w:basedOn w:val="8"/>
    <w:qFormat/>
    <w:uiPriority w:val="0"/>
    <w:pPr>
      <w:widowControl/>
      <w:spacing w:after="240"/>
      <w:ind w:left="720" w:hanging="720"/>
    </w:pPr>
    <w:rPr>
      <w:bCs/>
      <w:kern w:val="0"/>
      <w:sz w:val="24"/>
      <w:lang w:val="en-GB" w:eastAsia="en-US"/>
    </w:rPr>
  </w:style>
  <w:style w:type="paragraph" w:customStyle="1" w:styleId="65">
    <w:name w:val="FWB Cont 2"/>
    <w:basedOn w:val="1"/>
    <w:qFormat/>
    <w:uiPriority w:val="0"/>
    <w:pPr>
      <w:widowControl/>
      <w:spacing w:after="240"/>
    </w:pPr>
    <w:rPr>
      <w:kern w:val="0"/>
      <w:sz w:val="24"/>
      <w:szCs w:val="20"/>
      <w:lang w:val="en-GB" w:eastAsia="en-US"/>
    </w:rPr>
  </w:style>
  <w:style w:type="paragraph" w:customStyle="1" w:styleId="66">
    <w:name w:val="FWB Cont 4"/>
    <w:basedOn w:val="63"/>
    <w:qFormat/>
    <w:uiPriority w:val="0"/>
    <w:pPr>
      <w:ind w:left="1440"/>
    </w:pPr>
  </w:style>
  <w:style w:type="paragraph" w:customStyle="1" w:styleId="67">
    <w:name w:val="FWS_L1"/>
    <w:basedOn w:val="1"/>
    <w:next w:val="68"/>
    <w:qFormat/>
    <w:uiPriority w:val="0"/>
    <w:pPr>
      <w:keepNext/>
      <w:keepLines/>
      <w:pageBreakBefore/>
      <w:widowControl/>
      <w:numPr>
        <w:ilvl w:val="0"/>
        <w:numId w:val="2"/>
      </w:numPr>
      <w:spacing w:after="240" w:line="480" w:lineRule="auto"/>
      <w:jc w:val="center"/>
      <w:outlineLvl w:val="0"/>
    </w:pPr>
    <w:rPr>
      <w:b/>
      <w:caps/>
      <w:kern w:val="0"/>
      <w:sz w:val="24"/>
      <w:szCs w:val="20"/>
      <w:lang w:val="en-GB" w:eastAsia="en-US"/>
    </w:rPr>
  </w:style>
  <w:style w:type="paragraph" w:customStyle="1" w:styleId="68">
    <w:name w:val="FWS_L2"/>
    <w:basedOn w:val="67"/>
    <w:next w:val="69"/>
    <w:qFormat/>
    <w:uiPriority w:val="0"/>
    <w:pPr>
      <w:pageBreakBefore w:val="0"/>
      <w:numPr>
        <w:ilvl w:val="1"/>
      </w:numPr>
      <w:spacing w:line="240" w:lineRule="auto"/>
      <w:outlineLvl w:val="1"/>
    </w:pPr>
    <w:rPr>
      <w:caps w:val="0"/>
    </w:rPr>
  </w:style>
  <w:style w:type="paragraph" w:customStyle="1" w:styleId="69">
    <w:name w:val="FWS_L3"/>
    <w:basedOn w:val="68"/>
    <w:next w:val="70"/>
    <w:qFormat/>
    <w:uiPriority w:val="0"/>
    <w:pPr>
      <w:numPr>
        <w:ilvl w:val="2"/>
      </w:numPr>
      <w:jc w:val="left"/>
      <w:outlineLvl w:val="2"/>
    </w:pPr>
    <w:rPr>
      <w:smallCaps/>
    </w:rPr>
  </w:style>
  <w:style w:type="paragraph" w:customStyle="1" w:styleId="70">
    <w:name w:val="FWS_L5"/>
    <w:basedOn w:val="71"/>
    <w:qFormat/>
    <w:uiPriority w:val="0"/>
    <w:pPr>
      <w:numPr>
        <w:ilvl w:val="3"/>
      </w:numPr>
    </w:pPr>
  </w:style>
  <w:style w:type="paragraph" w:customStyle="1" w:styleId="71">
    <w:name w:val="FWS_L4"/>
    <w:basedOn w:val="69"/>
    <w:qFormat/>
    <w:uiPriority w:val="0"/>
    <w:pPr>
      <w:keepNext w:val="0"/>
      <w:keepLines w:val="0"/>
      <w:numPr>
        <w:ilvl w:val="4"/>
      </w:numPr>
      <w:jc w:val="both"/>
      <w:outlineLvl w:val="9"/>
    </w:pPr>
    <w:rPr>
      <w:b w:val="0"/>
      <w:smallCaps w:val="0"/>
    </w:rPr>
  </w:style>
  <w:style w:type="paragraph" w:customStyle="1" w:styleId="72">
    <w:name w:val="FWS_L6"/>
    <w:basedOn w:val="70"/>
    <w:qFormat/>
    <w:uiPriority w:val="0"/>
    <w:pPr>
      <w:numPr>
        <w:ilvl w:val="5"/>
      </w:numPr>
    </w:pPr>
  </w:style>
  <w:style w:type="paragraph" w:customStyle="1" w:styleId="73">
    <w:name w:val="FWS_L7"/>
    <w:basedOn w:val="72"/>
    <w:qFormat/>
    <w:uiPriority w:val="0"/>
    <w:pPr>
      <w:numPr>
        <w:ilvl w:val="6"/>
      </w:numPr>
    </w:pPr>
  </w:style>
  <w:style w:type="paragraph" w:customStyle="1" w:styleId="74">
    <w:name w:val="FWS_L8"/>
    <w:basedOn w:val="73"/>
    <w:qFormat/>
    <w:uiPriority w:val="0"/>
    <w:pPr>
      <w:numPr>
        <w:ilvl w:val="7"/>
      </w:numPr>
    </w:pPr>
  </w:style>
  <w:style w:type="paragraph" w:customStyle="1" w:styleId="75">
    <w:name w:val="FWS_L9"/>
    <w:basedOn w:val="74"/>
    <w:qFormat/>
    <w:uiPriority w:val="0"/>
    <w:pPr>
      <w:numPr>
        <w:ilvl w:val="8"/>
      </w:numPr>
    </w:pPr>
  </w:style>
  <w:style w:type="paragraph" w:customStyle="1" w:styleId="76">
    <w:name w:val="Normal (Justified)"/>
    <w:basedOn w:val="1"/>
    <w:qFormat/>
    <w:uiPriority w:val="0"/>
    <w:pPr>
      <w:widowControl/>
    </w:pPr>
    <w:rPr>
      <w:kern w:val="28"/>
      <w:sz w:val="24"/>
      <w:szCs w:val="20"/>
    </w:rPr>
  </w:style>
  <w:style w:type="paragraph" w:customStyle="1" w:styleId="77">
    <w:name w:val="Char Char Char Char Char Char Char Char 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78">
    <w:name w:val="字元 字元 Char Char Char Char"/>
    <w:basedOn w:val="1"/>
    <w:qFormat/>
    <w:uiPriority w:val="0"/>
    <w:pPr>
      <w:widowControl/>
      <w:spacing w:after="160" w:line="240" w:lineRule="exact"/>
      <w:jc w:val="left"/>
    </w:pPr>
    <w:rPr>
      <w:rFonts w:ascii="Verdana" w:hAnsi="Verdana" w:eastAsia="Times New Roman"/>
      <w:kern w:val="0"/>
      <w:sz w:val="20"/>
      <w:szCs w:val="20"/>
      <w:lang w:eastAsia="en-US"/>
    </w:rPr>
  </w:style>
  <w:style w:type="character" w:customStyle="1" w:styleId="79">
    <w:name w:val="DeltaView Insertion"/>
    <w:qFormat/>
    <w:uiPriority w:val="0"/>
    <w:rPr>
      <w:color w:val="0000FF"/>
      <w:spacing w:val="0"/>
      <w:u w:val="double"/>
    </w:rPr>
  </w:style>
  <w:style w:type="paragraph" w:customStyle="1" w:styleId="80">
    <w:name w:val="A1"/>
    <w:basedOn w:val="10"/>
    <w:qFormat/>
    <w:uiPriority w:val="0"/>
    <w:pPr>
      <w:numPr>
        <w:numId w:val="3"/>
      </w:numPr>
      <w:tabs>
        <w:tab w:val="left" w:pos="693"/>
        <w:tab w:val="left" w:pos="960"/>
      </w:tabs>
      <w:wordWrap w:val="0"/>
      <w:overflowPunct w:val="0"/>
      <w:spacing w:beforeLines="50" w:afterLines="50" w:line="380" w:lineRule="exact"/>
      <w:ind w:left="0" w:firstLine="0"/>
      <w:outlineLvl w:val="0"/>
    </w:pPr>
    <w:rPr>
      <w:rFonts w:eastAsia="楷体_GB2312"/>
      <w:b/>
      <w:sz w:val="24"/>
    </w:rPr>
  </w:style>
  <w:style w:type="paragraph" w:customStyle="1" w:styleId="81">
    <w:name w:val="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82">
    <w:name w:val="Char Char Char Char Char Char Char Char Char Char Char Char 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83">
    <w:name w:val="Char Char Char Char Char Char Char Char Char Char Char Char Char Char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84">
    <w:name w:val="Index Heading 2"/>
    <w:basedOn w:val="21"/>
    <w:qFormat/>
    <w:uiPriority w:val="0"/>
    <w:pPr>
      <w:widowControl/>
      <w:tabs>
        <w:tab w:val="right" w:pos="8280"/>
      </w:tabs>
      <w:spacing w:after="480"/>
      <w:jc w:val="left"/>
    </w:pPr>
    <w:rPr>
      <w:rFonts w:ascii="Times New Roman" w:hAnsi="Times New Roman" w:cs="Times New Roman"/>
      <w:bCs w:val="0"/>
      <w:caps/>
      <w:kern w:val="0"/>
      <w:sz w:val="24"/>
      <w:lang w:val="en-GB" w:eastAsia="en-US"/>
    </w:rPr>
  </w:style>
  <w:style w:type="paragraph" w:customStyle="1" w:styleId="85">
    <w:name w:val="Char Char Char Char Char Char Char Char Char Char Char Char Char Char2"/>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86">
    <w:name w:val="Char Char2"/>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87">
    <w:name w:val="Char Char Char Char Char Char Char Char Char Char Char Char Char Char3"/>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88">
    <w:name w:val="样式 (中文) 楷体_GB2312 小四 行距: 最小值 19 磅"/>
    <w:basedOn w:val="55"/>
    <w:next w:val="56"/>
    <w:qFormat/>
    <w:uiPriority w:val="0"/>
    <w:pPr>
      <w:tabs>
        <w:tab w:val="left" w:pos="420"/>
        <w:tab w:val="left" w:pos="630"/>
      </w:tabs>
      <w:spacing w:after="0" w:line="380" w:lineRule="atLeast"/>
    </w:pPr>
    <w:rPr>
      <w:rFonts w:eastAsia="楷体_GB2312" w:cs="宋体"/>
    </w:rPr>
  </w:style>
  <w:style w:type="paragraph" w:customStyle="1" w:styleId="89">
    <w:name w:val="FWParties"/>
    <w:basedOn w:val="8"/>
    <w:qFormat/>
    <w:uiPriority w:val="0"/>
    <w:pPr>
      <w:widowControl/>
      <w:tabs>
        <w:tab w:val="left" w:pos="425"/>
      </w:tabs>
      <w:spacing w:after="240"/>
      <w:ind w:left="425" w:hanging="425"/>
    </w:pPr>
    <w:rPr>
      <w:bCs/>
      <w:kern w:val="0"/>
      <w:sz w:val="24"/>
      <w:lang w:val="en-GB" w:eastAsia="en-US"/>
    </w:rPr>
  </w:style>
  <w:style w:type="paragraph" w:customStyle="1" w:styleId="90">
    <w:name w:val="A2"/>
    <w:basedOn w:val="10"/>
    <w:qFormat/>
    <w:uiPriority w:val="0"/>
    <w:pPr>
      <w:numPr>
        <w:numId w:val="0"/>
      </w:numPr>
      <w:wordWrap w:val="0"/>
      <w:overflowPunct w:val="0"/>
      <w:spacing w:beforeLines="50" w:afterLines="50" w:line="380" w:lineRule="exact"/>
    </w:pPr>
    <w:rPr>
      <w:rFonts w:eastAsia="楷体_GB2312"/>
      <w:sz w:val="24"/>
    </w:rPr>
  </w:style>
  <w:style w:type="paragraph" w:customStyle="1" w:styleId="91">
    <w:name w:val="A3"/>
    <w:basedOn w:val="1"/>
    <w:qFormat/>
    <w:uiPriority w:val="0"/>
    <w:pPr>
      <w:numPr>
        <w:ilvl w:val="2"/>
        <w:numId w:val="3"/>
      </w:numPr>
      <w:wordWrap w:val="0"/>
      <w:overflowPunct w:val="0"/>
      <w:spacing w:beforeLines="50" w:afterLines="50" w:line="380" w:lineRule="exact"/>
    </w:pPr>
    <w:rPr>
      <w:rFonts w:eastAsia="楷体_GB2312"/>
      <w:sz w:val="24"/>
    </w:rPr>
  </w:style>
  <w:style w:type="paragraph" w:customStyle="1" w:styleId="92">
    <w:name w:val="A4"/>
    <w:basedOn w:val="1"/>
    <w:qFormat/>
    <w:uiPriority w:val="0"/>
    <w:pPr>
      <w:numPr>
        <w:ilvl w:val="3"/>
        <w:numId w:val="3"/>
      </w:numPr>
      <w:wordWrap w:val="0"/>
      <w:overflowPunct w:val="0"/>
      <w:spacing w:beforeLines="50" w:afterLines="50" w:line="380" w:lineRule="exact"/>
    </w:pPr>
    <w:rPr>
      <w:rFonts w:eastAsia="楷体_GB2312"/>
      <w:sz w:val="24"/>
    </w:rPr>
  </w:style>
  <w:style w:type="paragraph" w:customStyle="1" w:styleId="93">
    <w:name w:val="浅色网格 - 强调文字颜色 31"/>
    <w:basedOn w:val="1"/>
    <w:qFormat/>
    <w:uiPriority w:val="34"/>
    <w:pPr>
      <w:widowControl/>
      <w:ind w:firstLine="420" w:firstLineChars="200"/>
      <w:jc w:val="left"/>
    </w:pPr>
    <w:rPr>
      <w:rFonts w:eastAsia="PMingLiU"/>
      <w:kern w:val="0"/>
      <w:sz w:val="24"/>
      <w:lang w:eastAsia="zh-TW"/>
    </w:rPr>
  </w:style>
  <w:style w:type="paragraph" w:customStyle="1" w:styleId="94">
    <w:name w:val="Char Char Char Char Char Char Char Char Char Char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95">
    <w:name w:val="字元 字元 Char Char Char Char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96">
    <w:name w:val="Char Char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97">
    <w:name w:val="Char Char Char Char Char Char Char Char Char Char Char Char Char Char4"/>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98">
    <w:name w:val="Char Char Char Char Char Char Char Char Char Char Char Char Char Char1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99">
    <w:name w:val="Char Char Char Char Char Char Char Char Char Char Char Char Char Char2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00">
    <w:name w:val="Char Char2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01">
    <w:name w:val="Char Char Char Char Char Char Char Char Char Char Char Char Char Char3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02">
    <w:name w:val="浅色列表 - 强调文字颜色 31"/>
    <w:semiHidden/>
    <w:qFormat/>
    <w:uiPriority w:val="99"/>
    <w:rPr>
      <w:rFonts w:ascii="Calibri" w:hAnsi="Calibri" w:eastAsia="宋体" w:cs="Times New Roman"/>
      <w:kern w:val="2"/>
      <w:sz w:val="21"/>
      <w:szCs w:val="24"/>
      <w:lang w:val="en-US" w:eastAsia="zh-CN" w:bidi="ar-SA"/>
    </w:rPr>
  </w:style>
  <w:style w:type="paragraph" w:customStyle="1" w:styleId="103">
    <w:name w:val="字元 字元 Char Char Char Char4"/>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04">
    <w:name w:val="字元 字元 Char Char Char Char3"/>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05">
    <w:name w:val="字元 字元 Char Char Char Char2"/>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06">
    <w:name w:val="彩色列表 - 强调文字颜色 11"/>
    <w:basedOn w:val="1"/>
    <w:qFormat/>
    <w:uiPriority w:val="34"/>
    <w:pPr>
      <w:ind w:firstLine="420" w:firstLineChars="200"/>
    </w:pPr>
  </w:style>
  <w:style w:type="paragraph" w:customStyle="1" w:styleId="107">
    <w:name w:val="彩色底纹 - 强调文字颜色 31"/>
    <w:basedOn w:val="1"/>
    <w:qFormat/>
    <w:uiPriority w:val="34"/>
    <w:pPr>
      <w:ind w:firstLine="420" w:firstLineChars="200"/>
    </w:pPr>
  </w:style>
  <w:style w:type="paragraph" w:customStyle="1" w:styleId="108">
    <w:name w:val="正文 + (中文) 楷体_GB2312"/>
    <w:basedOn w:val="13"/>
    <w:qFormat/>
    <w:uiPriority w:val="0"/>
    <w:pPr>
      <w:widowControl/>
      <w:spacing w:before="240" w:after="100" w:line="288" w:lineRule="auto"/>
      <w:ind w:firstLine="560" w:firstLineChars="200"/>
      <w:jc w:val="left"/>
    </w:pPr>
    <w:rPr>
      <w:rFonts w:ascii="Times New Roman" w:hAnsi="Times New Roman" w:eastAsia="楷体_GB2312"/>
      <w:spacing w:val="20"/>
      <w:sz w:val="24"/>
      <w:szCs w:val="24"/>
    </w:rPr>
  </w:style>
  <w:style w:type="paragraph" w:customStyle="1" w:styleId="109">
    <w:name w:val="深色列表 - 强调文字颜色 31"/>
    <w:qFormat/>
    <w:uiPriority w:val="71"/>
    <w:rPr>
      <w:rFonts w:ascii="Calibri" w:hAnsi="Calibri" w:eastAsia="宋体" w:cs="Times New Roman"/>
      <w:kern w:val="2"/>
      <w:sz w:val="21"/>
      <w:szCs w:val="24"/>
      <w:lang w:val="en-US" w:eastAsia="zh-CN" w:bidi="ar-SA"/>
    </w:rPr>
  </w:style>
  <w:style w:type="paragraph" w:customStyle="1" w:styleId="110">
    <w:name w:val="浅色列表 - 强调文字颜色 32"/>
    <w:qFormat/>
    <w:uiPriority w:val="71"/>
    <w:rPr>
      <w:rFonts w:ascii="Calibri" w:hAnsi="Calibri" w:eastAsia="宋体" w:cs="Times New Roman"/>
      <w:kern w:val="2"/>
      <w:sz w:val="21"/>
      <w:szCs w:val="24"/>
      <w:lang w:val="en-US" w:eastAsia="zh-CN" w:bidi="ar-SA"/>
    </w:rPr>
  </w:style>
  <w:style w:type="paragraph" w:customStyle="1" w:styleId="111">
    <w:name w:val="FWN_L1"/>
    <w:basedOn w:val="1"/>
    <w:qFormat/>
    <w:uiPriority w:val="0"/>
    <w:pPr>
      <w:widowControl/>
      <w:numPr>
        <w:ilvl w:val="0"/>
        <w:numId w:val="4"/>
      </w:numPr>
      <w:spacing w:after="240"/>
    </w:pPr>
    <w:rPr>
      <w:rFonts w:ascii="Times New Roman" w:hAnsi="Times New Roman"/>
      <w:kern w:val="0"/>
      <w:sz w:val="24"/>
      <w:szCs w:val="20"/>
      <w:lang w:eastAsia="en-US"/>
    </w:rPr>
  </w:style>
  <w:style w:type="paragraph" w:customStyle="1" w:styleId="112">
    <w:name w:val="浅色网格 - 强调文字颜色 32"/>
    <w:basedOn w:val="1"/>
    <w:qFormat/>
    <w:uiPriority w:val="34"/>
    <w:pPr>
      <w:ind w:firstLine="420" w:firstLineChars="200"/>
    </w:pPr>
  </w:style>
  <w:style w:type="paragraph" w:customStyle="1" w:styleId="113">
    <w:name w:val="中等深浅列表 2 - 强调文字颜色 21"/>
    <w:qFormat/>
    <w:uiPriority w:val="71"/>
    <w:rPr>
      <w:rFonts w:ascii="Calibri" w:hAnsi="Calibri" w:eastAsia="宋体" w:cs="Times New Roman"/>
      <w:kern w:val="2"/>
      <w:sz w:val="21"/>
      <w:szCs w:val="24"/>
      <w:lang w:val="en-US" w:eastAsia="zh-CN" w:bidi="ar-SA"/>
    </w:rPr>
  </w:style>
  <w:style w:type="paragraph" w:customStyle="1" w:styleId="114">
    <w:name w:val="修订1"/>
    <w:qFormat/>
    <w:uiPriority w:val="0"/>
    <w:rPr>
      <w:rFonts w:ascii="Calibri" w:hAnsi="Calibri" w:eastAsia="宋体" w:cs="Times New Roman"/>
      <w:kern w:val="2"/>
      <w:sz w:val="21"/>
      <w:szCs w:val="24"/>
      <w:lang w:val="en-US" w:eastAsia="zh-CN" w:bidi="ar-SA"/>
    </w:rPr>
  </w:style>
  <w:style w:type="paragraph" w:styleId="115">
    <w:name w:val="List Paragraph"/>
    <w:basedOn w:val="1"/>
    <w:qFormat/>
    <w:uiPriority w:val="99"/>
    <w:pPr>
      <w:ind w:firstLine="420" w:firstLineChars="200"/>
    </w:pPr>
    <w:rPr>
      <w:rFonts w:ascii="Times New Roman" w:hAnsi="Times New Roman"/>
    </w:rPr>
  </w:style>
  <w:style w:type="paragraph" w:customStyle="1" w:styleId="116">
    <w:name w:val="中等深浅网格 1 - 着色 21"/>
    <w:basedOn w:val="1"/>
    <w:qFormat/>
    <w:uiPriority w:val="34"/>
    <w:pPr>
      <w:widowControl/>
      <w:ind w:firstLine="420" w:firstLineChars="200"/>
      <w:jc w:val="left"/>
    </w:pPr>
    <w:rPr>
      <w:rFonts w:ascii="Times New Roman" w:hAnsi="Times New Roman" w:eastAsia="PMingLiU"/>
      <w:kern w:val="0"/>
      <w:sz w:val="24"/>
      <w:lang w:eastAsia="zh-TW"/>
    </w:rPr>
  </w:style>
  <w:style w:type="paragraph" w:customStyle="1" w:styleId="117">
    <w:name w:val="修订2"/>
    <w:hidden/>
    <w:unhideWhenUsed/>
    <w:qFormat/>
    <w:uiPriority w:val="99"/>
    <w:rPr>
      <w:rFonts w:ascii="Calibri" w:hAnsi="Calibri" w:eastAsia="宋体" w:cs="Times New Roman"/>
      <w:kern w:val="2"/>
      <w:sz w:val="21"/>
      <w:szCs w:val="24"/>
      <w:lang w:val="en-US" w:eastAsia="zh-CN" w:bidi="ar-SA"/>
    </w:rPr>
  </w:style>
  <w:style w:type="paragraph" w:customStyle="1" w:styleId="118">
    <w:name w:val="修订3"/>
    <w:hidden/>
    <w:unhideWhenUsed/>
    <w:qFormat/>
    <w:uiPriority w:val="99"/>
    <w:rPr>
      <w:rFonts w:ascii="Calibri" w:hAnsi="Calibri" w:eastAsia="宋体" w:cs="Times New Roman"/>
      <w:kern w:val="2"/>
      <w:sz w:val="21"/>
      <w:szCs w:val="24"/>
      <w:lang w:val="en-US" w:eastAsia="zh-CN" w:bidi="ar-SA"/>
    </w:rPr>
  </w:style>
  <w:style w:type="paragraph" w:customStyle="1" w:styleId="119">
    <w:name w:val="Revision"/>
    <w:hidden/>
    <w:unhideWhenUsed/>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126</Pages>
  <Words>29027</Words>
  <Characters>29398</Characters>
  <Lines>536</Lines>
  <Paragraphs>151</Paragraphs>
  <TotalTime>636</TotalTime>
  <ScaleCrop>false</ScaleCrop>
  <LinksUpToDate>false</LinksUpToDate>
  <CharactersWithSpaces>29519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2026-02-10T13:08:00Z</dcterms:created>
  <dc:creator>中伦证券化团队</dc:creator>
  <cp:lastModifiedBy>赵澍</cp:lastModifiedBy>
  <cp:lastPrinted>2026-01-24T06:17:00Z</cp:lastPrinted>
  <dcterms:modified xsi:type="dcterms:W3CDTF">2026-05-06T06:21:04Z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F1904631B23649EEA62119783D161C8E_13</vt:lpwstr>
  </property>
  <property fmtid="{D5CDD505-2E9C-101B-9397-08002B2CF9AE}" pid="4" name="KSOTemplateDocerSaveRecord">
    <vt:lpwstr>eyJoZGlkIjoiOTc3M2Y5NzIzMDFlZjAyY2Q4Njk5ODkyYjFjNzBiNTQiLCJ1c2VySWQiOiI1MDczOTAyNjIifQ==</vt:lpwstr>
  </property>
</Properties>
</file>